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left"/>
        <w:rPr>
          <w:rFonts w:ascii="微软雅黑" w:hAnsi="微软雅黑" w:eastAsia="微软雅黑" w:cs="微软雅黑"/>
          <w:b/>
          <w:bCs/>
          <w:sz w:val="28"/>
          <w:szCs w:val="28"/>
        </w:rPr>
      </w:pPr>
      <w:r>
        <w:rPr>
          <w:rFonts w:hint="eastAsia" w:ascii="微软雅黑" w:hAnsi="微软雅黑" w:eastAsia="微软雅黑" w:cs="微软雅黑"/>
          <w:b/>
          <w:bCs/>
          <w:sz w:val="28"/>
          <w:szCs w:val="28"/>
        </w:rPr>
        <w:t>蓝魔方  户外产品</w:t>
      </w:r>
    </w:p>
    <w:p>
      <w:pPr>
        <w:jc w:val="left"/>
        <w:rPr>
          <w:rFonts w:ascii="微软雅黑" w:hAnsi="微软雅黑" w:eastAsia="微软雅黑" w:cs="微软雅黑"/>
          <w:b/>
          <w:bCs/>
          <w:sz w:val="32"/>
          <w:szCs w:val="32"/>
        </w:rPr>
      </w:pPr>
      <w:r>
        <w:rPr>
          <w:rFonts w:hint="eastAsia" w:ascii="微软雅黑" w:hAnsi="微软雅黑" w:eastAsia="微软雅黑" w:cs="微软雅黑"/>
          <w:b/>
          <w:bCs/>
          <w:sz w:val="32"/>
          <w:szCs w:val="32"/>
        </w:rPr>
        <w:t>野战运动包</w:t>
      </w:r>
    </w:p>
    <w:p>
      <w:pPr>
        <w:pStyle w:val="2"/>
        <w:rPr>
          <w:rFonts w:ascii="微软雅黑" w:hAnsi="微软雅黑" w:eastAsia="微软雅黑" w:cs="微软雅黑"/>
          <w:bCs/>
          <w:sz w:val="32"/>
          <w:szCs w:val="32"/>
          <w:lang w:eastAsia="zh-CN"/>
        </w:rPr>
      </w:pPr>
    </w:p>
    <w:p>
      <w:pPr>
        <w:pStyle w:val="2"/>
        <w:rPr>
          <w:rFonts w:ascii="微软雅黑" w:hAnsi="微软雅黑" w:eastAsia="微软雅黑" w:cs="微软雅黑"/>
          <w:bCs/>
          <w:sz w:val="32"/>
          <w:szCs w:val="32"/>
          <w:lang w:eastAsia="zh-CN"/>
        </w:rPr>
      </w:pPr>
    </w:p>
    <w:p>
      <w:pPr>
        <w:jc w:val="center"/>
        <w:rPr>
          <w:rFonts w:hint="eastAsia" w:ascii="微软雅黑" w:hAnsi="微软雅黑" w:eastAsia="微软雅黑" w:cs="微软雅黑"/>
          <w:b/>
          <w:bCs/>
          <w:sz w:val="84"/>
          <w:szCs w:val="84"/>
          <w:lang w:eastAsia="zh-CN"/>
        </w:rPr>
      </w:pPr>
      <w:r>
        <w:rPr>
          <w:rFonts w:hint="eastAsia" w:ascii="微软雅黑" w:hAnsi="微软雅黑" w:eastAsia="微软雅黑" w:cs="微软雅黑"/>
          <w:b/>
          <w:bCs/>
          <w:sz w:val="84"/>
          <w:szCs w:val="84"/>
          <w:lang w:eastAsia="zh-CN"/>
        </w:rPr>
        <w:drawing>
          <wp:inline distT="0" distB="0" distL="114300" distR="114300">
            <wp:extent cx="5257800" cy="3943350"/>
            <wp:effectExtent l="12700" t="12700" r="25400" b="25400"/>
            <wp:docPr id="14" name="图片 14" descr="野战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野战区"/>
                    <pic:cNvPicPr>
                      <a:picLocks noChangeAspect="1"/>
                    </pic:cNvPicPr>
                  </pic:nvPicPr>
                  <pic:blipFill>
                    <a:blip r:embed="rId6"/>
                    <a:stretch>
                      <a:fillRect/>
                    </a:stretch>
                  </pic:blipFill>
                  <pic:spPr>
                    <a:xfrm>
                      <a:off x="0" y="0"/>
                      <a:ext cx="5257800" cy="3943350"/>
                    </a:xfrm>
                    <a:prstGeom prst="rect">
                      <a:avLst/>
                    </a:prstGeom>
                    <a:ln w="12700" cmpd="sng">
                      <a:solidFill>
                        <a:schemeClr val="tx1"/>
                      </a:solidFill>
                      <a:prstDash val="solid"/>
                    </a:ln>
                  </pic:spPr>
                </pic:pic>
              </a:graphicData>
            </a:graphic>
          </wp:inline>
        </w:drawing>
      </w:r>
    </w:p>
    <w:p>
      <w:pPr>
        <w:jc w:val="center"/>
        <w:rPr>
          <w:rFonts w:ascii="微软雅黑" w:hAnsi="微软雅黑" w:eastAsia="微软雅黑" w:cs="微软雅黑"/>
          <w:b/>
          <w:bCs/>
          <w:sz w:val="84"/>
          <w:szCs w:val="84"/>
        </w:rPr>
      </w:pPr>
    </w:p>
    <w:p>
      <w:pPr>
        <w:pStyle w:val="2"/>
        <w:rPr>
          <w:rFonts w:ascii="微软雅黑" w:hAnsi="微软雅黑" w:eastAsia="微软雅黑" w:cs="微软雅黑"/>
          <w:sz w:val="32"/>
          <w:szCs w:val="32"/>
          <w:lang w:eastAsia="zh-CN"/>
        </w:rPr>
      </w:pPr>
    </w:p>
    <w:p>
      <w:pPr>
        <w:pStyle w:val="2"/>
        <w:rPr>
          <w:rFonts w:ascii="微软雅黑" w:hAnsi="微软雅黑" w:eastAsia="微软雅黑" w:cs="微软雅黑"/>
          <w:sz w:val="32"/>
          <w:szCs w:val="32"/>
          <w:lang w:eastAsia="zh-CN"/>
        </w:rPr>
      </w:pPr>
      <w:r>
        <w:rPr>
          <w:sz w:val="32"/>
        </w:rPr>
        <w:pict>
          <v:shape id="_x0000_s1026" o:spid="_x0000_s1026" o:spt="202" type="#_x0000_t202" style="position:absolute;left:0pt;margin-left:277.1pt;margin-top:5.5pt;height:48.8pt;width:150.7pt;z-index:251659264;mso-width-relative:page;mso-height-relative:page;" fillcolor="#FFFFFF" filled="t" stroked="f" coordsize="21600,21600" o:gfxdata="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4FnGXVAAAA&#10;CgEAAA8AAAAAAAAAAQAgAAAAIgAAAGRycy9kb3ducmV2LnhtbFBLAQIUABQAAAAIAIdO4kBaumEw&#10;WQIAAJ0EAAAOAAAAAAAAAAEAIAAAACQBAABkcnMvZTJvRG9jLnhtbFBLBQYAAAAABgAGAFkBAADv&#10;BQAAAAA=&#10;">
            <v:path/>
            <v:fill on="t" focussize="0,0"/>
            <v:stroke on="f" weight="0.5pt" joinstyle="miter"/>
            <v:imagedata o:title=""/>
            <o:lock v:ext="edit"/>
            <v:textbox>
              <w:txbxContent>
                <w:p>
                  <w:r>
                    <w:rPr>
                      <w:rFonts w:hint="eastAsia" w:ascii="微软雅黑" w:hAnsi="微软雅黑" w:eastAsia="微软雅黑" w:cs="微软雅黑"/>
                    </w:rPr>
                    <w:drawing>
                      <wp:inline distT="0" distB="0" distL="114300" distR="114300">
                        <wp:extent cx="1621155" cy="447675"/>
                        <wp:effectExtent l="0" t="0" r="17145" b="9525"/>
                        <wp:docPr id="8" name="图片 8" descr="微信图片_20210426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426104041"/>
                                <pic:cNvPicPr>
                                  <a:picLocks noChangeAspect="1"/>
                                </pic:cNvPicPr>
                              </pic:nvPicPr>
                              <pic:blipFill>
                                <a:blip r:embed="rId7"/>
                                <a:stretch>
                                  <a:fillRect/>
                                </a:stretch>
                              </pic:blipFill>
                              <pic:spPr>
                                <a:xfrm>
                                  <a:off x="0" y="0"/>
                                  <a:ext cx="1621155" cy="447675"/>
                                </a:xfrm>
                                <a:prstGeom prst="rect">
                                  <a:avLst/>
                                </a:prstGeom>
                              </pic:spPr>
                            </pic:pic>
                          </a:graphicData>
                        </a:graphic>
                      </wp:inline>
                    </w:drawing>
                  </w:r>
                </w:p>
              </w:txbxContent>
            </v:textbox>
          </v:shape>
        </w:pict>
      </w:r>
      <w:r>
        <w:rPr>
          <w:rFonts w:hint="eastAsia" w:ascii="微软雅黑" w:hAnsi="微软雅黑" w:eastAsia="微软雅黑" w:cs="微软雅黑"/>
          <w:sz w:val="32"/>
          <w:szCs w:val="32"/>
          <w:lang w:eastAsia="zh-CN"/>
        </w:rPr>
        <w:t>说 明 书</w:t>
      </w:r>
      <w:r>
        <w:rPr>
          <w:rFonts w:hint="eastAsia" w:ascii="微软雅黑" w:hAnsi="微软雅黑" w:eastAsia="微软雅黑" w:cs="微软雅黑"/>
          <w:lang w:eastAsia="zh-CN"/>
        </w:rPr>
        <w:t xml:space="preserve">                                                    </w:t>
      </w:r>
    </w:p>
    <w:p>
      <w:pPr>
        <w:pStyle w:val="2"/>
        <w:rPr>
          <w:rFonts w:ascii="微软雅黑" w:hAnsi="微软雅黑" w:eastAsia="微软雅黑" w:cs="微软雅黑"/>
          <w:b w:val="0"/>
          <w:bCs/>
          <w:lang w:eastAsia="zh-CN"/>
        </w:rPr>
      </w:pPr>
      <w:r>
        <w:rPr>
          <w:rFonts w:hint="eastAsia" w:ascii="微软雅黑" w:hAnsi="微软雅黑" w:eastAsia="微软雅黑" w:cs="微软雅黑"/>
          <w:b w:val="0"/>
          <w:bCs/>
          <w:lang w:eastAsia="zh-CN"/>
        </w:rPr>
        <w:t>Kindergarten environment solution provider</w:t>
      </w:r>
    </w:p>
    <w:p>
      <w:pPr>
        <w:pStyle w:val="15"/>
        <w:numPr>
          <w:ilvl w:val="0"/>
          <w:numId w:val="0"/>
        </w:numPr>
        <w:rPr>
          <w:lang w:eastAsia="zh-CN"/>
        </w:rPr>
      </w:pPr>
    </w:p>
    <w:p>
      <w:pPr>
        <w:pStyle w:val="2"/>
        <w:rPr>
          <w:rFonts w:ascii="微软雅黑" w:hAnsi="微软雅黑" w:eastAsia="微软雅黑" w:cs="微软雅黑"/>
          <w:sz w:val="24"/>
          <w:szCs w:val="24"/>
          <w:lang w:eastAsia="zh-CN"/>
        </w:rPr>
        <w:sectPr>
          <w:pgSz w:w="11906" w:h="16838"/>
          <w:pgMar w:top="1440" w:right="1800" w:bottom="1440" w:left="1800" w:header="851" w:footer="992" w:gutter="0"/>
          <w:cols w:space="425" w:num="1"/>
          <w:docGrid w:type="lines" w:linePitch="312" w:charSpace="0"/>
        </w:sectPr>
      </w:pPr>
    </w:p>
    <w:p>
      <w:pPr>
        <w:pStyle w:val="2"/>
        <w:rPr>
          <w:rFonts w:ascii="微软雅黑" w:hAnsi="微软雅黑" w:eastAsia="微软雅黑" w:cs="微软雅黑"/>
          <w:b w:val="0"/>
          <w:sz w:val="21"/>
          <w:szCs w:val="21"/>
          <w:lang w:eastAsia="zh-CN"/>
        </w:rPr>
      </w:pPr>
      <w:r>
        <w:rPr>
          <w:rFonts w:hint="eastAsia" w:ascii="微软雅黑" w:hAnsi="微软雅黑" w:eastAsia="微软雅黑" w:cs="微软雅黑"/>
          <w:sz w:val="24"/>
          <w:szCs w:val="24"/>
          <w:lang w:eastAsia="zh-CN"/>
        </w:rPr>
        <w:t>一、产品清单</w:t>
      </w:r>
    </w:p>
    <w:p>
      <w:pPr>
        <w:pStyle w:val="2"/>
        <w:rPr>
          <w:rFonts w:ascii="微软雅黑" w:hAnsi="微软雅黑" w:eastAsia="微软雅黑" w:cs="微软雅黑"/>
          <w:b w:val="0"/>
          <w:lang w:eastAsia="zh-CN"/>
        </w:rPr>
      </w:pPr>
      <w:r>
        <w:rPr>
          <w:rFonts w:hint="eastAsia" w:ascii="微软雅黑" w:hAnsi="微软雅黑" w:eastAsia="微软雅黑" w:cs="微软雅黑"/>
          <w:b w:val="0"/>
          <w:color w:val="000000"/>
          <w:lang w:eastAsia="zh-CN"/>
        </w:rPr>
        <w:t>产品名称：</w:t>
      </w:r>
      <w:r>
        <w:rPr>
          <w:rFonts w:hint="eastAsia" w:ascii="微软雅黑" w:hAnsi="微软雅黑" w:eastAsia="微软雅黑" w:cs="微软雅黑"/>
          <w:b w:val="0"/>
          <w:color w:val="000000"/>
          <w:u w:val="single"/>
          <w:lang w:eastAsia="zh-CN"/>
        </w:rPr>
        <w:t>野战运动包</w:t>
      </w:r>
      <w:r>
        <w:rPr>
          <w:rFonts w:hint="eastAsia" w:ascii="微软雅黑" w:hAnsi="微软雅黑" w:eastAsia="微软雅黑" w:cs="微软雅黑"/>
          <w:b w:val="0"/>
          <w:color w:val="000000"/>
          <w:lang w:eastAsia="zh-CN"/>
        </w:rPr>
        <w:t xml:space="preserve">                                          型号：</w:t>
      </w:r>
      <w:r>
        <w:rPr>
          <w:rFonts w:hint="eastAsia" w:ascii="微软雅黑" w:hAnsi="微软雅黑" w:eastAsia="微软雅黑" w:cs="微软雅黑"/>
          <w:b w:val="0"/>
          <w:color w:val="000000"/>
          <w:u w:val="single"/>
          <w:lang w:eastAsia="zh-CN"/>
        </w:rPr>
        <w:t>LMF-YZ01</w:t>
      </w:r>
      <w:r>
        <w:rPr>
          <w:rFonts w:hint="eastAsia" w:ascii="微软雅黑" w:hAnsi="微软雅黑" w:eastAsia="微软雅黑" w:cs="微软雅黑"/>
          <w:b w:val="0"/>
          <w:color w:val="000000"/>
          <w:lang w:eastAsia="zh-CN"/>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892"/>
        <w:gridCol w:w="1185"/>
        <w:gridCol w:w="876"/>
        <w:gridCol w:w="1985"/>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b/>
                <w:bCs/>
                <w:color w:val="000000" w:themeColor="text1"/>
                <w:sz w:val="20"/>
                <w:szCs w:val="20"/>
              </w:rPr>
            </w:pPr>
            <w:r>
              <w:rPr>
                <w:rFonts w:hint="eastAsia" w:ascii="微软雅黑" w:hAnsi="微软雅黑" w:eastAsia="微软雅黑" w:cs="微软雅黑"/>
                <w:b/>
                <w:bCs/>
                <w:color w:val="000000" w:themeColor="text1"/>
                <w:sz w:val="20"/>
                <w:szCs w:val="20"/>
              </w:rPr>
              <w:t>序号</w:t>
            </w:r>
          </w:p>
        </w:tc>
        <w:tc>
          <w:tcPr>
            <w:tcW w:w="1892" w:type="dxa"/>
          </w:tcPr>
          <w:p>
            <w:pPr>
              <w:spacing w:line="480" w:lineRule="auto"/>
              <w:jc w:val="center"/>
              <w:rPr>
                <w:rFonts w:ascii="微软雅黑" w:hAnsi="微软雅黑" w:eastAsia="微软雅黑" w:cs="微软雅黑"/>
                <w:b/>
                <w:bCs/>
                <w:color w:val="000000" w:themeColor="text1"/>
                <w:sz w:val="20"/>
                <w:szCs w:val="20"/>
              </w:rPr>
            </w:pPr>
            <w:r>
              <w:rPr>
                <w:rFonts w:hint="eastAsia" w:ascii="微软雅黑" w:hAnsi="微软雅黑" w:eastAsia="微软雅黑" w:cs="微软雅黑"/>
                <w:b/>
                <w:bCs/>
                <w:color w:val="000000" w:themeColor="text1"/>
                <w:sz w:val="20"/>
                <w:szCs w:val="20"/>
              </w:rPr>
              <w:t>名称</w:t>
            </w:r>
          </w:p>
        </w:tc>
        <w:tc>
          <w:tcPr>
            <w:tcW w:w="1185" w:type="dxa"/>
          </w:tcPr>
          <w:p>
            <w:pPr>
              <w:spacing w:line="480" w:lineRule="auto"/>
              <w:jc w:val="center"/>
              <w:rPr>
                <w:rFonts w:ascii="微软雅黑" w:hAnsi="微软雅黑" w:eastAsia="微软雅黑" w:cs="微软雅黑"/>
                <w:b/>
                <w:bCs/>
                <w:color w:val="000000" w:themeColor="text1"/>
                <w:sz w:val="20"/>
                <w:szCs w:val="20"/>
              </w:rPr>
            </w:pPr>
            <w:r>
              <w:rPr>
                <w:rFonts w:hint="eastAsia" w:ascii="微软雅黑" w:hAnsi="微软雅黑" w:eastAsia="微软雅黑" w:cs="微软雅黑"/>
                <w:b/>
                <w:bCs/>
                <w:color w:val="000000" w:themeColor="text1"/>
                <w:sz w:val="20"/>
                <w:szCs w:val="20"/>
              </w:rPr>
              <w:t>数量</w:t>
            </w:r>
          </w:p>
        </w:tc>
        <w:tc>
          <w:tcPr>
            <w:tcW w:w="876" w:type="dxa"/>
          </w:tcPr>
          <w:p>
            <w:pPr>
              <w:spacing w:line="480" w:lineRule="auto"/>
              <w:jc w:val="center"/>
              <w:rPr>
                <w:rFonts w:ascii="微软雅黑" w:hAnsi="微软雅黑" w:eastAsia="微软雅黑" w:cs="微软雅黑"/>
                <w:b/>
                <w:bCs/>
                <w:color w:val="000000" w:themeColor="text1"/>
                <w:sz w:val="20"/>
                <w:szCs w:val="20"/>
              </w:rPr>
            </w:pPr>
            <w:r>
              <w:rPr>
                <w:rFonts w:hint="eastAsia" w:ascii="微软雅黑" w:hAnsi="微软雅黑" w:eastAsia="微软雅黑" w:cs="微软雅黑"/>
                <w:b/>
                <w:bCs/>
                <w:color w:val="000000" w:themeColor="text1"/>
                <w:sz w:val="20"/>
                <w:szCs w:val="20"/>
              </w:rPr>
              <w:t>序号</w:t>
            </w:r>
          </w:p>
        </w:tc>
        <w:tc>
          <w:tcPr>
            <w:tcW w:w="1985" w:type="dxa"/>
          </w:tcPr>
          <w:p>
            <w:pPr>
              <w:spacing w:line="480" w:lineRule="auto"/>
              <w:jc w:val="center"/>
              <w:rPr>
                <w:rFonts w:ascii="微软雅黑" w:hAnsi="微软雅黑" w:eastAsia="微软雅黑" w:cs="微软雅黑"/>
                <w:b/>
                <w:bCs/>
                <w:color w:val="000000" w:themeColor="text1"/>
                <w:sz w:val="20"/>
                <w:szCs w:val="20"/>
              </w:rPr>
            </w:pPr>
            <w:r>
              <w:rPr>
                <w:rFonts w:hint="eastAsia" w:ascii="微软雅黑" w:hAnsi="微软雅黑" w:eastAsia="微软雅黑" w:cs="微软雅黑"/>
                <w:b/>
                <w:bCs/>
                <w:color w:val="000000" w:themeColor="text1"/>
                <w:sz w:val="20"/>
                <w:szCs w:val="20"/>
              </w:rPr>
              <w:t>名称</w:t>
            </w:r>
          </w:p>
        </w:tc>
        <w:tc>
          <w:tcPr>
            <w:tcW w:w="1678" w:type="dxa"/>
          </w:tcPr>
          <w:p>
            <w:pPr>
              <w:spacing w:line="480" w:lineRule="auto"/>
              <w:jc w:val="center"/>
              <w:rPr>
                <w:rFonts w:ascii="微软雅黑" w:hAnsi="微软雅黑" w:eastAsia="微软雅黑" w:cs="微软雅黑"/>
                <w:b/>
                <w:bCs/>
                <w:color w:val="000000" w:themeColor="text1"/>
                <w:sz w:val="20"/>
                <w:szCs w:val="20"/>
              </w:rPr>
            </w:pPr>
            <w:r>
              <w:rPr>
                <w:rFonts w:hint="eastAsia" w:ascii="微软雅黑" w:hAnsi="微软雅黑" w:eastAsia="微软雅黑" w:cs="微软雅黑"/>
                <w:b/>
                <w:bCs/>
                <w:color w:val="000000" w:themeColor="text1"/>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color w:val="000000"/>
                <w:sz w:val="20"/>
                <w:szCs w:val="20"/>
              </w:rPr>
            </w:pPr>
            <w:r>
              <w:rPr>
                <w:rFonts w:hint="eastAsia" w:ascii="微软雅黑" w:hAnsi="微软雅黑" w:eastAsia="微软雅黑" w:cs="微软雅黑"/>
                <w:sz w:val="20"/>
                <w:szCs w:val="20"/>
              </w:rPr>
              <w:t>1</w:t>
            </w:r>
          </w:p>
        </w:tc>
        <w:tc>
          <w:tcPr>
            <w:tcW w:w="1892" w:type="dxa"/>
            <w:vAlign w:val="center"/>
          </w:tcPr>
          <w:p>
            <w:pPr>
              <w:widowControl/>
              <w:spacing w:line="480" w:lineRule="auto"/>
              <w:jc w:val="center"/>
              <w:textAlignment w:val="center"/>
              <w:rPr>
                <w:rFonts w:ascii="微软雅黑" w:hAnsi="微软雅黑" w:eastAsia="微软雅黑" w:cs="微软雅黑"/>
                <w:sz w:val="20"/>
                <w:szCs w:val="20"/>
              </w:rPr>
            </w:pPr>
            <w:r>
              <w:rPr>
                <w:rFonts w:hint="eastAsia" w:ascii="微软雅黑" w:hAnsi="微软雅黑" w:eastAsia="微软雅黑" w:cs="微软雅黑"/>
                <w:color w:val="000000"/>
                <w:kern w:val="0"/>
                <w:sz w:val="20"/>
                <w:szCs w:val="20"/>
              </w:rPr>
              <w:t>单元沙包</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30个</w:t>
            </w:r>
          </w:p>
        </w:tc>
        <w:tc>
          <w:tcPr>
            <w:tcW w:w="876"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9</w:t>
            </w:r>
          </w:p>
        </w:tc>
        <w:tc>
          <w:tcPr>
            <w:tcW w:w="19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木手枪</w:t>
            </w:r>
          </w:p>
        </w:tc>
        <w:tc>
          <w:tcPr>
            <w:tcW w:w="1678"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2</w:t>
            </w:r>
          </w:p>
        </w:tc>
        <w:tc>
          <w:tcPr>
            <w:tcW w:w="1892"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双倍沙包</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105个</w:t>
            </w:r>
          </w:p>
        </w:tc>
        <w:tc>
          <w:tcPr>
            <w:tcW w:w="876"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10</w:t>
            </w:r>
          </w:p>
        </w:tc>
        <w:tc>
          <w:tcPr>
            <w:tcW w:w="19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手雷沙包</w:t>
            </w:r>
          </w:p>
        </w:tc>
        <w:tc>
          <w:tcPr>
            <w:tcW w:w="1678"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24个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3</w:t>
            </w:r>
          </w:p>
        </w:tc>
        <w:tc>
          <w:tcPr>
            <w:tcW w:w="1892"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单元平衡板</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4个</w:t>
            </w:r>
          </w:p>
        </w:tc>
        <w:tc>
          <w:tcPr>
            <w:tcW w:w="876"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11</w:t>
            </w:r>
          </w:p>
        </w:tc>
        <w:tc>
          <w:tcPr>
            <w:tcW w:w="19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麻绳</w:t>
            </w:r>
          </w:p>
        </w:tc>
        <w:tc>
          <w:tcPr>
            <w:tcW w:w="1678"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4</w:t>
            </w:r>
          </w:p>
        </w:tc>
        <w:tc>
          <w:tcPr>
            <w:tcW w:w="1892"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双倍平衡板</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4个</w:t>
            </w:r>
          </w:p>
        </w:tc>
        <w:tc>
          <w:tcPr>
            <w:tcW w:w="876"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12</w:t>
            </w:r>
          </w:p>
        </w:tc>
        <w:tc>
          <w:tcPr>
            <w:tcW w:w="19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野战帐篷</w:t>
            </w:r>
          </w:p>
        </w:tc>
        <w:tc>
          <w:tcPr>
            <w:tcW w:w="1678"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5</w:t>
            </w:r>
          </w:p>
        </w:tc>
        <w:tc>
          <w:tcPr>
            <w:tcW w:w="1892"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担架</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6个</w:t>
            </w:r>
          </w:p>
        </w:tc>
        <w:tc>
          <w:tcPr>
            <w:tcW w:w="876"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13</w:t>
            </w:r>
          </w:p>
        </w:tc>
        <w:tc>
          <w:tcPr>
            <w:tcW w:w="19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红、蓝旗帜</w:t>
            </w:r>
          </w:p>
        </w:tc>
        <w:tc>
          <w:tcPr>
            <w:tcW w:w="1678"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各1个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6</w:t>
            </w:r>
          </w:p>
        </w:tc>
        <w:tc>
          <w:tcPr>
            <w:tcW w:w="1892"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双眼木墩</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12个</w:t>
            </w:r>
          </w:p>
        </w:tc>
        <w:tc>
          <w:tcPr>
            <w:tcW w:w="876"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14</w:t>
            </w:r>
          </w:p>
        </w:tc>
        <w:tc>
          <w:tcPr>
            <w:tcW w:w="19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防水迷彩收纳布</w:t>
            </w:r>
          </w:p>
        </w:tc>
        <w:tc>
          <w:tcPr>
            <w:tcW w:w="1678"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7</w:t>
            </w:r>
          </w:p>
        </w:tc>
        <w:tc>
          <w:tcPr>
            <w:tcW w:w="1892"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油桶</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3个</w:t>
            </w:r>
          </w:p>
        </w:tc>
        <w:tc>
          <w:tcPr>
            <w:tcW w:w="876"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15</w:t>
            </w:r>
          </w:p>
        </w:tc>
        <w:tc>
          <w:tcPr>
            <w:tcW w:w="19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行军背包</w:t>
            </w:r>
          </w:p>
        </w:tc>
        <w:tc>
          <w:tcPr>
            <w:tcW w:w="1678"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1"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8</w:t>
            </w:r>
          </w:p>
        </w:tc>
        <w:tc>
          <w:tcPr>
            <w:tcW w:w="1892"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弹药箱</w:t>
            </w:r>
          </w:p>
        </w:tc>
        <w:tc>
          <w:tcPr>
            <w:tcW w:w="1185" w:type="dxa"/>
          </w:tcPr>
          <w:p>
            <w:pPr>
              <w:spacing w:line="480" w:lineRule="auto"/>
              <w:jc w:val="center"/>
              <w:rPr>
                <w:rFonts w:ascii="微软雅黑" w:hAnsi="微软雅黑" w:eastAsia="微软雅黑" w:cs="微软雅黑"/>
                <w:sz w:val="20"/>
                <w:szCs w:val="20"/>
              </w:rPr>
            </w:pPr>
            <w:r>
              <w:rPr>
                <w:rFonts w:hint="eastAsia" w:ascii="微软雅黑" w:hAnsi="微软雅黑" w:eastAsia="微软雅黑" w:cs="微软雅黑"/>
                <w:sz w:val="20"/>
                <w:szCs w:val="20"/>
              </w:rPr>
              <w:t>2个</w:t>
            </w:r>
          </w:p>
        </w:tc>
        <w:tc>
          <w:tcPr>
            <w:tcW w:w="876" w:type="dxa"/>
          </w:tcPr>
          <w:p>
            <w:pPr>
              <w:spacing w:line="480" w:lineRule="auto"/>
              <w:jc w:val="center"/>
              <w:rPr>
                <w:rFonts w:ascii="微软雅黑" w:hAnsi="微软雅黑" w:eastAsia="微软雅黑" w:cs="微软雅黑"/>
                <w:sz w:val="20"/>
                <w:szCs w:val="20"/>
              </w:rPr>
            </w:pPr>
          </w:p>
        </w:tc>
        <w:tc>
          <w:tcPr>
            <w:tcW w:w="1985" w:type="dxa"/>
          </w:tcPr>
          <w:p>
            <w:pPr>
              <w:spacing w:line="480" w:lineRule="auto"/>
              <w:jc w:val="center"/>
              <w:rPr>
                <w:rFonts w:ascii="微软雅黑" w:hAnsi="微软雅黑" w:eastAsia="微软雅黑" w:cs="微软雅黑"/>
                <w:sz w:val="20"/>
                <w:szCs w:val="20"/>
              </w:rPr>
            </w:pPr>
          </w:p>
        </w:tc>
        <w:tc>
          <w:tcPr>
            <w:tcW w:w="1678" w:type="dxa"/>
          </w:tcPr>
          <w:p>
            <w:pPr>
              <w:spacing w:line="480" w:lineRule="auto"/>
              <w:jc w:val="center"/>
              <w:rPr>
                <w:rFonts w:ascii="微软雅黑" w:hAnsi="微软雅黑" w:eastAsia="微软雅黑" w:cs="微软雅黑"/>
                <w:sz w:val="20"/>
                <w:szCs w:val="20"/>
              </w:rPr>
            </w:pPr>
          </w:p>
        </w:tc>
      </w:tr>
    </w:tbl>
    <w:p>
      <w:pPr>
        <w:pStyle w:val="16"/>
        <w:rPr>
          <w:rFonts w:hint="eastAsia" w:ascii="微软雅黑" w:hAnsi="微软雅黑" w:eastAsia="微软雅黑" w:cs="微软雅黑"/>
          <w:sz w:val="20"/>
          <w:lang w:eastAsia="zh-CN"/>
        </w:rPr>
      </w:pPr>
      <w:r>
        <w:rPr>
          <w:sz w:val="20"/>
        </w:rPr>
        <w:pict>
          <v:rect id="_x0000_s1048" o:spid="_x0000_s1048" o:spt="1" style="position:absolute;left:0pt;margin-left:321.05pt;margin-top:191.75pt;height:19.55pt;width:31.85pt;z-index:251680768;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4</w:t>
                  </w:r>
                </w:p>
              </w:txbxContent>
            </v:textbox>
          </v:rect>
        </w:pict>
      </w:r>
      <w:r>
        <w:rPr>
          <w:sz w:val="20"/>
        </w:rPr>
        <w:pict>
          <v:rect id="_x0000_s1046" o:spid="_x0000_s1046" o:spt="1" style="position:absolute;left:0pt;margin-left:357.2pt;margin-top:181.4pt;height:19.55pt;width:31.85pt;z-index:251678720;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3</w:t>
                  </w:r>
                </w:p>
              </w:txbxContent>
            </v:textbox>
          </v:rect>
        </w:pict>
      </w:r>
      <w:r>
        <w:rPr>
          <w:sz w:val="20"/>
        </w:rPr>
        <w:pict>
          <v:rect id="_x0000_s1052" o:spid="_x0000_s1052" o:spt="1" style="position:absolute;left:0pt;margin-left:369.2pt;margin-top:137.95pt;height:19.55pt;width:31.85pt;z-index:251684864;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8</w:t>
                  </w:r>
                </w:p>
              </w:txbxContent>
            </v:textbox>
          </v:rect>
        </w:pict>
      </w:r>
      <w:r>
        <w:rPr>
          <w:sz w:val="20"/>
        </w:rPr>
        <w:pict>
          <v:rect id="_x0000_s1054" o:spid="_x0000_s1054" o:spt="1" style="position:absolute;left:0pt;margin-left:394.2pt;margin-top:127.15pt;height:19.55pt;width:31.85pt;z-index:251686912;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9</w:t>
                  </w:r>
                </w:p>
              </w:txbxContent>
            </v:textbox>
          </v:rect>
        </w:pict>
      </w:r>
      <w:r>
        <w:rPr>
          <w:sz w:val="20"/>
        </w:rPr>
        <w:pict>
          <v:line id="_x0000_s1053" o:spid="_x0000_s1053" o:spt="20" style="position:absolute;left:0pt;flip:y;margin-left:369.85pt;margin-top:139pt;height:0.05pt;width:22.1pt;z-index:251685888;mso-width-relative:page;mso-height-relative:page;" filled="f" stroked="t" coordsize="21600,21600">
            <v:path arrowok="t"/>
            <v:fill on="f" focussize="0,0"/>
            <v:stroke color="#000000"/>
            <v:imagedata o:title=""/>
            <o:lock v:ext="edit" aspectratio="f"/>
          </v:line>
        </w:pict>
      </w:r>
      <w:r>
        <w:rPr>
          <w:sz w:val="20"/>
        </w:rPr>
        <w:pict>
          <v:line id="_x0000_s1051" o:spid="_x0000_s1051" o:spt="20" style="position:absolute;left:0pt;margin-left:311.4pt;margin-top:139.2pt;height:10.5pt;width:66.05pt;z-index:251683840;mso-width-relative:page;mso-height-relative:page;" filled="f" stroked="t" coordsize="21600,21600">
            <v:path arrowok="t"/>
            <v:fill on="f" focussize="0,0"/>
            <v:stroke color="#000000"/>
            <v:imagedata o:title=""/>
            <o:lock v:ext="edit" aspectratio="f"/>
          </v:line>
        </w:pict>
      </w:r>
      <w:r>
        <w:rPr>
          <w:sz w:val="20"/>
        </w:rPr>
        <w:pict>
          <v:rect id="_x0000_s1050" o:spid="_x0000_s1050" o:spt="1" style="position:absolute;left:0pt;margin-left:394.45pt;margin-top:77.65pt;height:19.55pt;width:31.85pt;z-index:251682816;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6</w:t>
                  </w:r>
                </w:p>
              </w:txbxContent>
            </v:textbox>
          </v:rect>
        </w:pict>
      </w:r>
      <w:r>
        <w:rPr>
          <w:sz w:val="20"/>
        </w:rPr>
        <w:pict>
          <v:line id="_x0000_s1049" o:spid="_x0000_s1049" o:spt="20" style="position:absolute;left:0pt;flip:y;margin-left:367.65pt;margin-top:87.05pt;height:28.5pt;width:34.3pt;z-index:251681792;mso-width-relative:page;mso-height-relative:page;" filled="f" stroked="t" coordsize="21600,21600">
            <v:path arrowok="t"/>
            <v:fill on="f" focussize="0,0"/>
            <v:stroke color="#000000"/>
            <v:imagedata o:title=""/>
            <o:lock v:ext="edit" aspectratio="f"/>
          </v:line>
        </w:pict>
      </w:r>
      <w:r>
        <w:rPr>
          <w:sz w:val="20"/>
        </w:rPr>
        <w:pict>
          <v:line id="_x0000_s1047" o:spid="_x0000_s1047" o:spt="20" style="position:absolute;left:0pt;margin-left:298.6pt;margin-top:179.35pt;height:24.45pt;width:31.85pt;z-index:251679744;mso-width-relative:page;mso-height-relative:page;" filled="f" stroked="t" coordsize="21600,21600">
            <v:path arrowok="t"/>
            <v:fill on="f" focussize="0,0"/>
            <v:stroke color="#000000"/>
            <v:imagedata o:title=""/>
            <o:lock v:ext="edit" aspectratio="f"/>
          </v:line>
        </w:pict>
      </w:r>
      <w:r>
        <w:rPr>
          <w:sz w:val="20"/>
        </w:rPr>
        <w:pict>
          <v:line id="_x0000_s1045" o:spid="_x0000_s1045" o:spt="20" style="position:absolute;left:0pt;margin-left:325.75pt;margin-top:148.6pt;height:36.6pt;width:34.35pt;z-index:251677696;mso-width-relative:page;mso-height-relative:page;" filled="f" stroked="t" coordsize="21600,21600">
            <v:path arrowok="t"/>
            <v:fill on="f" focussize="0,0"/>
            <v:stroke color="#000000"/>
            <v:imagedata o:title=""/>
            <o:lock v:ext="edit" aspectratio="f"/>
          </v:line>
        </w:pict>
      </w:r>
      <w:r>
        <w:rPr>
          <w:sz w:val="20"/>
        </w:rPr>
        <w:pict>
          <v:rect id="_x0000_s1044" o:spid="_x0000_s1044" o:spt="1" style="position:absolute;left:0pt;margin-left:276.65pt;margin-top:221.55pt;height:19.55pt;width:31.85pt;z-index:251676672;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5</w:t>
                  </w:r>
                </w:p>
              </w:txbxContent>
            </v:textbox>
          </v:rect>
        </w:pict>
      </w:r>
      <w:r>
        <w:rPr>
          <w:sz w:val="20"/>
        </w:rPr>
        <w:pict>
          <v:line id="_x0000_s1043" o:spid="_x0000_s1043" o:spt="20" style="position:absolute;left:0pt;margin-left:245.25pt;margin-top:197.7pt;height:24.45pt;width:31.85pt;z-index:251675648;mso-width-relative:page;mso-height-relative:page;" filled="f" stroked="t" coordsize="21600,21600">
            <v:path arrowok="t"/>
            <v:fill on="f" focussize="0,0"/>
            <v:stroke color="#000000"/>
            <v:imagedata o:title=""/>
            <o:lock v:ext="edit" aspectratio="f"/>
          </v:line>
        </w:pict>
      </w:r>
      <w:r>
        <w:rPr>
          <w:sz w:val="20"/>
        </w:rPr>
        <w:pict>
          <v:rect id="_x0000_s1042" o:spid="_x0000_s1042" o:spt="1" style="position:absolute;left:0pt;margin-left:143.75pt;margin-top:124.55pt;height:19.55pt;width:31.85pt;z-index:251674624;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11</w:t>
                  </w:r>
                </w:p>
              </w:txbxContent>
            </v:textbox>
          </v:rect>
        </w:pict>
      </w:r>
      <w:r>
        <w:rPr>
          <w:sz w:val="20"/>
        </w:rPr>
        <w:pict>
          <v:line id="_x0000_s1041" o:spid="_x0000_s1041" o:spt="20" style="position:absolute;left:0pt;margin-left:154.7pt;margin-top:138.95pt;height:30.95pt;width:15.6pt;z-index:251673600;mso-width-relative:page;mso-height-relative:page;" filled="f" stroked="t" coordsize="21600,21600">
            <v:path arrowok="t"/>
            <v:fill on="f" focussize="0,0"/>
            <v:stroke color="#000000"/>
            <v:imagedata o:title=""/>
            <o:lock v:ext="edit" aspectratio="f"/>
          </v:line>
        </w:pict>
      </w:r>
      <w:r>
        <w:rPr>
          <w:sz w:val="20"/>
        </w:rPr>
        <w:pict>
          <v:rect id="_x0000_s1040" o:spid="_x0000_s1040" o:spt="1" style="position:absolute;left:0pt;margin-left:218.2pt;margin-top:244.6pt;height:19.55pt;width:31.85pt;z-index:251672576;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7</w:t>
                  </w:r>
                </w:p>
              </w:txbxContent>
            </v:textbox>
          </v:rect>
        </w:pict>
      </w:r>
      <w:r>
        <w:rPr>
          <w:sz w:val="20"/>
        </w:rPr>
        <w:pict>
          <v:line id="_x0000_s1039" o:spid="_x0000_s1039" o:spt="20" style="position:absolute;left:0pt;margin-left:210.4pt;margin-top:211.75pt;height:30.95pt;width:18.8pt;z-index:251671552;mso-width-relative:page;mso-height-relative:page;" filled="f" stroked="t" coordsize="21600,21600">
            <v:path arrowok="t"/>
            <v:fill on="f" focussize="0,0"/>
            <v:stroke color="#000000"/>
            <v:imagedata o:title=""/>
            <o:lock v:ext="edit" aspectratio="f"/>
          </v:line>
        </w:pict>
      </w:r>
      <w:r>
        <w:rPr>
          <w:sz w:val="20"/>
        </w:rPr>
        <w:pict>
          <v:rect id="_x0000_s1038" o:spid="_x0000_s1038" o:spt="1" style="position:absolute;left:0pt;margin-left:132pt;margin-top:245.6pt;height:19.55pt;width:31.85pt;z-index:251670528;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13</w:t>
                  </w:r>
                </w:p>
              </w:txbxContent>
            </v:textbox>
          </v:rect>
        </w:pict>
      </w:r>
      <w:r>
        <w:rPr>
          <w:sz w:val="20"/>
        </w:rPr>
        <w:pict>
          <v:line id="_x0000_s1035" o:spid="_x0000_s1035" o:spt="20" style="position:absolute;left:0pt;margin-left:93.6pt;margin-top:244.8pt;height:1.65pt;width:36.75pt;z-index:251668480;mso-width-relative:page;mso-height-relative:page;" filled="f" stroked="t" coordsize="21600,21600">
            <v:path arrowok="t"/>
            <v:fill on="f" focussize="0,0"/>
            <v:stroke color="#000000"/>
            <v:imagedata o:title=""/>
            <o:lock v:ext="edit" aspectratio="f"/>
          </v:line>
        </w:pict>
      </w:r>
      <w:r>
        <w:rPr>
          <w:sz w:val="20"/>
        </w:rPr>
        <w:pict>
          <v:line id="_x0000_s1036" o:spid="_x0000_s1036" o:spt="20" style="position:absolute;left:0pt;flip:x;margin-left:143.9pt;margin-top:214.4pt;height:22.8pt;width:10.5pt;z-index:251669504;mso-width-relative:page;mso-height-relative:page;" filled="f" stroked="t" coordsize="21600,21600">
            <v:path arrowok="t"/>
            <v:fill on="f" focussize="0,0"/>
            <v:stroke color="#000000"/>
            <v:imagedata o:title=""/>
            <o:lock v:ext="edit" aspectratio="f"/>
          </v:line>
        </w:pict>
      </w:r>
      <w:r>
        <w:rPr>
          <w:rFonts w:hint="eastAsia" w:ascii="微软雅黑" w:hAnsi="微软雅黑" w:eastAsia="微软雅黑" w:cs="微软雅黑"/>
          <w:sz w:val="20"/>
          <w:lang w:eastAsia="zh-CN"/>
        </w:rPr>
        <w:drawing>
          <wp:inline distT="0" distB="0" distL="114300" distR="114300">
            <wp:extent cx="5257800" cy="3943350"/>
            <wp:effectExtent l="0" t="0" r="0" b="0"/>
            <wp:docPr id="17" name="图片 17" descr="野战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野战区2"/>
                    <pic:cNvPicPr>
                      <a:picLocks noChangeAspect="1"/>
                    </pic:cNvPicPr>
                  </pic:nvPicPr>
                  <pic:blipFill>
                    <a:blip r:embed="rId8"/>
                    <a:stretch>
                      <a:fillRect/>
                    </a:stretch>
                  </pic:blipFill>
                  <pic:spPr>
                    <a:xfrm>
                      <a:off x="0" y="0"/>
                      <a:ext cx="5257800" cy="3943350"/>
                    </a:xfrm>
                    <a:prstGeom prst="rect">
                      <a:avLst/>
                    </a:prstGeom>
                  </pic:spPr>
                </pic:pic>
              </a:graphicData>
            </a:graphic>
          </wp:inline>
        </w:drawing>
      </w:r>
      <w:bookmarkStart w:id="0" w:name="_GoBack"/>
      <w:bookmarkEnd w:id="0"/>
      <w:r>
        <w:rPr>
          <w:sz w:val="20"/>
        </w:rPr>
        <w:pict>
          <v:rect id="_x0000_s1034" o:spid="_x0000_s1034" o:spt="1" style="position:absolute;left:0pt;margin-left:4.25pt;margin-top:103.95pt;height:19.55pt;width:31.85pt;z-index:251667456;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12</w:t>
                  </w:r>
                </w:p>
              </w:txbxContent>
            </v:textbox>
          </v:rect>
        </w:pict>
      </w:r>
      <w:r>
        <w:rPr>
          <w:sz w:val="20"/>
        </w:rPr>
        <w:pict>
          <v:line id="_x0000_s1033" o:spid="_x0000_s1033" o:spt="20" style="position:absolute;left:0pt;margin-left:39.2pt;margin-top:116.2pt;height:1.65pt;width:36.75pt;z-index:251666432;mso-width-relative:page;mso-height-relative:page;" filled="f" stroked="t" coordsize="21600,21600">
            <v:path arrowok="t"/>
            <v:fill on="f" focussize="0,0"/>
            <v:stroke color="#000000"/>
            <v:imagedata o:title=""/>
            <o:lock v:ext="edit" aspectratio="f"/>
          </v:line>
        </w:pict>
      </w:r>
      <w:r>
        <w:rPr>
          <w:sz w:val="20"/>
        </w:rPr>
        <w:pict>
          <v:rect id="_x0000_s1032" o:spid="_x0000_s1032" o:spt="1" style="position:absolute;left:0pt;margin-left:191.55pt;margin-top:148.5pt;height:21.25pt;width:12.35pt;z-index:251665408;mso-width-relative:page;mso-height-relative:page;" fillcolor="#FFFFFF" filled="t" stroked="t" coordsize="21600,21600">
            <v:path/>
            <v:fill on="t" color2="#FFFFFF" focussize="0,0"/>
            <v:stroke color="#FFFFFF" joinstyle="miter"/>
            <v:imagedata o:title=""/>
            <o:lock v:ext="edit" aspectratio="f"/>
            <v:textbox>
              <w:txbxContent>
                <w:p>
                  <w:pPr>
                    <w:rPr>
                      <w:rFonts w:hint="default" w:eastAsiaTheme="minorEastAsia"/>
                      <w:lang w:val="en-US" w:eastAsia="zh-CN"/>
                    </w:rPr>
                  </w:pPr>
                  <w:r>
                    <w:rPr>
                      <w:rFonts w:hint="eastAsia"/>
                      <w:lang w:val="en-US" w:eastAsia="zh-CN"/>
                    </w:rPr>
                    <w:t>2</w:t>
                  </w:r>
                </w:p>
              </w:txbxContent>
            </v:textbox>
          </v:rect>
        </w:pict>
      </w:r>
      <w:r>
        <w:rPr>
          <w:sz w:val="20"/>
        </w:rPr>
        <w:pict>
          <v:rect id="_x0000_s1030" o:spid="_x0000_s1030" o:spt="1" style="position:absolute;left:0pt;margin-left:208.05pt;margin-top:134.05pt;height:21.25pt;width:12.35pt;z-index:251663360;mso-width-relative:page;mso-height-relative:page;" fillcolor="#FFFFFF" filled="t" stroked="t" coordsize="21600,21600">
            <v:path/>
            <v:fill on="t" color2="#FFFFFF" focussize="0,0"/>
            <v:stroke color="#FFFFFF" joinstyle="miter"/>
            <v:imagedata o:title=""/>
            <o:lock v:ext="edit" aspectratio="f"/>
            <v:textbox>
              <w:txbxContent>
                <w:p>
                  <w:pPr>
                    <w:rPr>
                      <w:rFonts w:hint="default" w:eastAsiaTheme="minorEastAsia"/>
                      <w:lang w:val="en-US" w:eastAsia="zh-CN"/>
                    </w:rPr>
                  </w:pPr>
                  <w:r>
                    <w:rPr>
                      <w:rFonts w:hint="eastAsia"/>
                      <w:lang w:val="en-US" w:eastAsia="zh-CN"/>
                    </w:rPr>
                    <w:t>1</w:t>
                  </w:r>
                </w:p>
              </w:txbxContent>
            </v:textbox>
          </v:rect>
        </w:pict>
      </w:r>
      <w:r>
        <w:rPr>
          <w:sz w:val="20"/>
        </w:rPr>
        <w:pict>
          <v:line id="_x0000_s1029" o:spid="_x0000_s1029" o:spt="20" style="position:absolute;left:0pt;flip:x y;margin-left:224.35pt;margin-top:143.9pt;height:7.35pt;width:17.05pt;z-index:251662336;mso-width-relative:page;mso-height-relative:page;" filled="f" stroked="t" coordsize="21600,21600">
            <v:path arrowok="t"/>
            <v:fill on="f" focussize="0,0"/>
            <v:stroke color="#000000"/>
            <v:imagedata o:title=""/>
            <o:lock v:ext="edit" aspectratio="f"/>
          </v:line>
        </w:pict>
      </w:r>
      <w:r>
        <w:rPr>
          <w:sz w:val="20"/>
        </w:rPr>
        <w:pict>
          <v:line id="_x0000_s1031" o:spid="_x0000_s1031" o:spt="20" style="position:absolute;left:0pt;flip:x y;margin-left:205.4pt;margin-top:156.75pt;height:7.35pt;width:48pt;z-index:251664384;mso-width-relative:page;mso-height-relative:page;" filled="f" stroked="t" coordsize="21600,21600">
            <v:path arrowok="t"/>
            <v:fill on="f" focussize="0,0"/>
            <v:stroke color="#000000"/>
            <v:imagedata o:title=""/>
            <o:lock v:ext="edit" aspectratio="f"/>
          </v:line>
        </w:pict>
      </w:r>
      <w:r>
        <w:rPr>
          <w:sz w:val="20"/>
        </w:rPr>
        <w:pict>
          <v:rect id="_x0000_s1028" o:spid="_x0000_s1028" o:spt="1" style="position:absolute;left:0pt;margin-left:290.6pt;margin-top:27.55pt;height:19.55pt;width:31.85pt;z-index:251661312;mso-width-relative:page;mso-height-relative:page;" fillcolor="#FFFFFF" filled="t" stroked="t" coordsize="21600,21600">
            <v:path/>
            <v:fill on="t" color2="#FFFFFF" focussize="0,0"/>
            <v:stroke color="#FFFFFF"/>
            <v:imagedata o:title=""/>
            <o:lock v:ext="edit" aspectratio="f"/>
            <v:textbox>
              <w:txbxContent>
                <w:p>
                  <w:pPr>
                    <w:rPr>
                      <w:rFonts w:hint="default" w:eastAsiaTheme="minorEastAsia"/>
                      <w:lang w:val="en-US" w:eastAsia="zh-CN"/>
                    </w:rPr>
                  </w:pPr>
                  <w:r>
                    <w:rPr>
                      <w:rFonts w:hint="eastAsia"/>
                      <w:lang w:val="en-US" w:eastAsia="zh-CN"/>
                    </w:rPr>
                    <w:t>14</w:t>
                  </w:r>
                </w:p>
              </w:txbxContent>
            </v:textbox>
          </v:rect>
        </w:pict>
      </w:r>
      <w:r>
        <w:rPr>
          <w:sz w:val="20"/>
        </w:rPr>
        <w:pict>
          <v:line id="_x0000_s1027" o:spid="_x0000_s1027" o:spt="20" style="position:absolute;left:0pt;flip:y;margin-left:253.05pt;margin-top:42.25pt;height:11.4pt;width:33.45pt;z-index:251660288;mso-width-relative:page;mso-height-relative:page;" fillcolor="#FFFFFF" filled="t" stroked="t" coordsize="21600,21600">
            <v:path arrowok="t"/>
            <v:fill on="t" color2="#FFFFFF" focussize="0,0"/>
            <v:stroke color="#000000"/>
            <v:imagedata o:title=""/>
            <o:lock v:ext="edit" aspectratio="f"/>
          </v:line>
        </w:pict>
      </w:r>
    </w:p>
    <w:p>
      <w:pPr>
        <w:pStyle w:val="16"/>
        <w:rPr>
          <w:rFonts w:ascii="微软雅黑" w:hAnsi="微软雅黑" w:eastAsia="微软雅黑" w:cs="微软雅黑"/>
          <w:sz w:val="20"/>
          <w:lang w:eastAsia="zh-CN"/>
        </w:rPr>
      </w:pPr>
      <w:r>
        <w:rPr>
          <w:rFonts w:hint="eastAsia" w:ascii="微软雅黑" w:hAnsi="微软雅黑" w:eastAsia="微软雅黑" w:cs="微软雅黑"/>
          <w:sz w:val="20"/>
          <w:lang w:eastAsia="zh-CN"/>
        </w:rPr>
        <w:t>产品材质说明：</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1.木材是一种天然的有机材料，可能会有具有结头，开裂和铜锈。木材的外观随气候条件和湿度的变化而变化。这些现象并不是不完美的表现；它们是完全自然的，给我们的游戏场装备带来了自然的外观和具有低结构高开放性的设计。</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2.由于木材的张力会在桩端和桩侧造成开裂，这些开裂不会影响结构强度，也不会带来任何腐烂或真菌的风险。这是原木的正常现象，通常不会造成安全或质量问题。</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3.布料为防水牛津布，是布料+涂层（PU）工艺制成，其防水性强，耐腐蚀性比一般布料要好，但涂层随着使用频次和时间的推移会慢慢磨损，平时应注意清洁保养增加其使用寿命。</w:t>
      </w:r>
    </w:p>
    <w:p>
      <w:pPr>
        <w:pStyle w:val="13"/>
        <w:rPr>
          <w:rFonts w:ascii="微软雅黑" w:hAnsi="微软雅黑" w:eastAsia="微软雅黑" w:cs="微软雅黑"/>
          <w:lang w:eastAsia="zh-CN"/>
        </w:rPr>
      </w:pPr>
      <w:r>
        <w:rPr>
          <w:rFonts w:hint="eastAsia" w:ascii="微软雅黑" w:hAnsi="微软雅黑" w:eastAsia="微软雅黑" w:cs="微软雅黑"/>
          <w:color w:val="3B3838" w:themeColor="background2" w:themeShade="40"/>
          <w:lang w:eastAsia="zh-CN"/>
        </w:rPr>
        <w:t>4.铁质为冷轧钢，其具有良好的耐久和耐热性，表面也经过防腐防锈处理，但毕竟是铁材质，当表面涂层被破坏后长期在潮湿环境中会导致生锈，所以平时注意尽量放在干燥的地方，当表面涂层被破坏后应及时处理。</w:t>
      </w:r>
    </w:p>
    <w:p>
      <w:pPr>
        <w:pStyle w:val="2"/>
        <w:rPr>
          <w:rFonts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二、玩法建议</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蓝魔方野战运动包是一款由原生态材料打造的低结构、跨领域、混年游戏材料包。用以支撑3-6岁儿童五大领域的全面发展。</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1.部件说明</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沙包、油桶、担架、弹药箱等均为儿童尺寸，鼓励儿童自由自主操作所有器械。</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沙包：分为单元沙包、双倍沙包和行军包。</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双倍沙包的大小尺寸是单元沙包的2倍，用以支持建构成型。</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行军包与单元沙包尺寸一样，多了一个装饰背带。既是对建构用沙包的补充，也是对儿童角表用的支撑材料。同时可以充当“伤员”、“炸药包”等多种角色。</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沙包的填充材料为高温消毒谷壳、包面材料为牛津防水布。下雨时应做好收纳防护；被雨水浸透后应做晾晒处理；表面弄脏后可用湿抹布或毛刷擦洗。</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双倍沙包重量为2.5斤左右；单元沙包重量为1斤左右。可支持儿童自由搬运、堆叠、投掷。</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双眼木墩：双眼木墩由防腐松木拼合而成，并予以面层碳化处理。这样可以避免整木墩的自然开裂现象。</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双眼木墩本身可以参与建构，可作为木凳，可组合为1平米大的小舞台，也可做“梅花桩”使用。</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双眼木墩与担架配合可组合成投掷靶、隔离墙，数量多时甚至可拼装成迷宫；与担架的木杆配合可组成攀爬树（成人扶持）；与平衡板配合可自由拼搭平衡桥，插上木杆后可增加游戏难度；与木杆和麻绳配合可进行各类跨越、钻爬训练。</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担架：担架不鼓励儿童抬儿童，避免儿童负重过大或导致“伤员”跌落受伤；支持成人与儿童的亲子互动。</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担架布可从担架杆上自由取放；担架布之间有魔术贴可进行粘和，用以支持儿童地面爬行；担架的正面印花为“红十字”，用以支持儿童角色扮演；担架的反面印花为“大嘴巴”，用以支持儿童的投掷游戏。</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担架杆配合双眼木墩等材料是儿童进行运动游戏的主要材料。</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平衡板：分为单元平衡板和双倍平衡板。</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双倍平衡板的长度是单元平衡板的2倍，可参与建构、运动和收纳。</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油桶：油桶采用儿童尺寸，属于建构用与环创用材料。</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弹药箱、迷彩帐篷等均为角表环创用才。</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防水迷彩布：沙漠迷彩涂胶工艺。可覆盖所有材料，预期使用寿命3年。</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2.发展领域</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1）建构</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野战区儿童建构用材料，采用儿童尺寸设计，支持儿童自己动手建构野战工事。</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利用相关材料，儿童可以搭建战壕、障碍墙、碉堡、投资靶、拱桥、指挥所等任意形态。充分调动儿童的想象力与动手能力。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2）运动</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野战区支持儿童开展系统的运动游戏。</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穿越火线：锻炼儿童爬行、跨越与身体协调能力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利用实木墩、担架杆、麻绳，构筑穿越火线，实木墩每个高0.2米，可通过担架杆组装多个根据要求调节高度，针对不同年龄儿童可改变游戏难度。</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攀越高山：锻炼儿童攀爬、平衡能力，鼓励儿童挑战。</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利用油桶可沙包堆坡。由于沙包自身弹性性能，儿童可放心攀爬。</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泥泞草地：锻炼手眼协调、肢体协调性与平衡能力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将沙包随机洒满场地即可。儿童行走时不能踩踏沙包，跌倒需退出场地。</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平衡木桥：锻炼儿童身体协调与平衡能力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利用实木墩与平衡板搭建而成，可用单架杆增加行进难度。</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抢救伤员：锻炼儿童手眼协调与奔跑能力，促进儿童团队协作能力。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利用行军包做伤员，由两名儿童抬着担架奔跑。伤员落地退出比赛，先到目的地者胜。</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百发百中：锻炼儿童手眼协调与投掷能力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利用担架与实木墩搭建而成。手雷沙包入袋多者胜。</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匍匐前进：锻炼儿童上肢爬行与身体协调性</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利用担架拼接而成。儿童不可 四肢爬行，需全身匍匐于担架布，以上肢力量前进。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森林迷宫：锻炼儿童方向感知能力</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利用实木墩、担架、麻绳搭建而成。</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3）角色</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野战游戏是大型户外角色游戏。我们鼓励整个游戏活动至少1小时。游戏根据时间合理分布为三阶段</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第一阶段：构筑工事</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以战壕、碉堡构筑完成，红旗插好为完成标准</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第二阶段：竞争内容</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可根据实际情况，展开具体比赛内容</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第三阶段：完美收纳</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利用实木墩与单元平衡板搭建长2米、宽1米二的收纳平台；</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将大沙包铺满平台，堆砌成6层；</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将小沙包置于由大沙包砌好的平台中央；</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将红旗斜插在小沙包平台前端；</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一个坦克车就成型了；</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最后，请老师将防雨遮阳迷彩布罩上，并系好。</w:t>
      </w:r>
    </w:p>
    <w:p>
      <w:pPr>
        <w:pStyle w:val="13"/>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由于上述材料是全低结构材料。我们所提供的玩法不应成为儿童自主游戏的限制，期待他们创造更多更大的惊喜与奇迹！</w:t>
      </w:r>
    </w:p>
    <w:p>
      <w:pPr>
        <w:pStyle w:val="13"/>
        <w:rPr>
          <w:rFonts w:ascii="微软雅黑" w:hAnsi="微软雅黑" w:eastAsia="微软雅黑" w:cs="微软雅黑"/>
          <w:lang w:eastAsia="zh-CN"/>
        </w:rPr>
      </w:pPr>
      <w:r>
        <w:rPr>
          <w:rFonts w:hint="eastAsia" w:ascii="微软雅黑" w:hAnsi="微软雅黑" w:eastAsia="微软雅黑" w:cs="微软雅黑"/>
          <w:lang w:eastAsia="zh-CN"/>
        </w:rPr>
        <w:t>另外，您可以在蓝魔方网站找到许多相关资料或扫描下列二维码查看对应资料：</w:t>
      </w:r>
    </w:p>
    <w:p>
      <w:pPr>
        <w:pStyle w:val="2"/>
        <w:jc w:val="center"/>
        <w:rPr>
          <w:rFonts w:ascii="微软雅黑" w:hAnsi="微软雅黑" w:eastAsia="微软雅黑" w:cs="微软雅黑"/>
          <w:b w:val="0"/>
          <w:sz w:val="44"/>
          <w:szCs w:val="44"/>
          <w:lang w:eastAsia="zh-CN"/>
        </w:rPr>
      </w:pPr>
      <w:r>
        <w:rPr>
          <w:rFonts w:hint="eastAsia" w:ascii="微软雅黑" w:hAnsi="微软雅黑" w:eastAsia="微软雅黑" w:cs="微软雅黑"/>
          <w:b w:val="0"/>
          <w:sz w:val="44"/>
          <w:szCs w:val="44"/>
          <w:lang w:eastAsia="zh-CN"/>
        </w:rPr>
        <w:drawing>
          <wp:inline distT="0" distB="0" distL="114300" distR="114300">
            <wp:extent cx="2095500" cy="1943100"/>
            <wp:effectExtent l="0" t="0" r="0" b="0"/>
            <wp:docPr id="1" name="图片 1" descr="安装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装说明"/>
                    <pic:cNvPicPr>
                      <a:picLocks noChangeAspect="1"/>
                    </pic:cNvPicPr>
                  </pic:nvPicPr>
                  <pic:blipFill>
                    <a:blip r:embed="rId9" cstate="print"/>
                    <a:stretch>
                      <a:fillRect/>
                    </a:stretch>
                  </pic:blipFill>
                  <pic:spPr>
                    <a:xfrm>
                      <a:off x="0" y="0"/>
                      <a:ext cx="2095500" cy="1943100"/>
                    </a:xfrm>
                    <a:prstGeom prst="rect">
                      <a:avLst/>
                    </a:prstGeom>
                  </pic:spPr>
                </pic:pic>
              </a:graphicData>
            </a:graphic>
          </wp:inline>
        </w:drawing>
      </w:r>
      <w:r>
        <w:rPr>
          <w:rFonts w:hint="eastAsia" w:ascii="微软雅黑" w:hAnsi="微软雅黑" w:eastAsia="微软雅黑" w:cs="微软雅黑"/>
          <w:b w:val="0"/>
          <w:sz w:val="44"/>
          <w:szCs w:val="44"/>
          <w:lang w:eastAsia="zh-CN"/>
        </w:rPr>
        <w:t xml:space="preserve"> </w:t>
      </w:r>
    </w:p>
    <w:p>
      <w:pPr>
        <w:pStyle w:val="12"/>
        <w:numPr>
          <w:ilvl w:val="0"/>
          <w:numId w:val="2"/>
        </w:numPr>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安装说明</w:t>
      </w:r>
    </w:p>
    <w:p>
      <w:pPr>
        <w:pStyle w:val="12"/>
        <w:rPr>
          <w:rFonts w:ascii="微软雅黑" w:hAnsi="微软雅黑" w:eastAsia="微软雅黑" w:cs="微软雅黑"/>
          <w:b w:val="0"/>
          <w:bCs/>
          <w:color w:val="auto"/>
          <w:sz w:val="20"/>
          <w:szCs w:val="20"/>
          <w:lang w:eastAsia="zh-CN"/>
        </w:rPr>
      </w:pPr>
      <w:r>
        <w:rPr>
          <w:rFonts w:hint="eastAsia" w:ascii="微软雅黑" w:hAnsi="微软雅黑" w:eastAsia="微软雅黑" w:cs="微软雅黑"/>
          <w:b w:val="0"/>
          <w:bCs/>
          <w:color w:val="auto"/>
          <w:sz w:val="20"/>
          <w:szCs w:val="20"/>
          <w:lang w:eastAsia="zh-CN"/>
        </w:rPr>
        <w:t>1.本产品无需安装，场景布置详见上述玩法建议。</w:t>
      </w:r>
    </w:p>
    <w:p>
      <w:pPr>
        <w:pStyle w:val="12"/>
        <w:rPr>
          <w:rFonts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四、维护建议</w:t>
      </w:r>
    </w:p>
    <w:p>
      <w:pPr>
        <w:pStyle w:val="13"/>
        <w:rPr>
          <w:rFonts w:ascii="微软雅黑" w:hAnsi="微软雅黑" w:eastAsia="微软雅黑" w:cs="微软雅黑"/>
          <w:color w:val="auto"/>
          <w:lang w:val="da-DK" w:eastAsia="zh-CN"/>
        </w:rPr>
      </w:pPr>
      <w:r>
        <w:rPr>
          <w:rFonts w:hint="eastAsia" w:ascii="微软雅黑" w:hAnsi="微软雅黑" w:eastAsia="微软雅黑" w:cs="微软雅黑"/>
          <w:color w:val="auto"/>
          <w:lang w:eastAsia="zh-CN"/>
        </w:rPr>
        <w:t>每天/每周进行目测检查，以便发现问题；每月/每季度的检查结果需记录在维修表中；更全面的年检需要书写年检报告，并附其相关的其他检查文件。</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我们建议业主方为游戏装备建立一个档案，至少包含以下内容：</w:t>
      </w:r>
    </w:p>
    <w:p>
      <w:pPr>
        <w:pStyle w:val="15"/>
        <w:numPr>
          <w:ilvl w:val="0"/>
          <w:numId w:val="3"/>
        </w:numPr>
        <w:rPr>
          <w:rFonts w:ascii="微软雅黑" w:hAnsi="微软雅黑" w:eastAsia="微软雅黑" w:cs="微软雅黑"/>
          <w:color w:val="auto"/>
        </w:rPr>
      </w:pPr>
      <w:r>
        <w:rPr>
          <w:rFonts w:hint="eastAsia" w:ascii="微软雅黑" w:hAnsi="微软雅黑" w:eastAsia="微软雅黑" w:cs="微软雅黑"/>
          <w:color w:val="auto"/>
        </w:rPr>
        <w:t>销售和质保文件</w:t>
      </w:r>
    </w:p>
    <w:p>
      <w:pPr>
        <w:pStyle w:val="15"/>
        <w:numPr>
          <w:ilvl w:val="0"/>
          <w:numId w:val="3"/>
        </w:numPr>
        <w:rPr>
          <w:rFonts w:ascii="微软雅黑" w:hAnsi="微软雅黑" w:eastAsia="微软雅黑" w:cs="微软雅黑"/>
          <w:color w:val="auto"/>
        </w:rPr>
      </w:pPr>
      <w:r>
        <w:rPr>
          <w:rFonts w:hint="eastAsia" w:ascii="微软雅黑" w:hAnsi="微软雅黑" w:eastAsia="微软雅黑" w:cs="微软雅黑"/>
          <w:color w:val="auto"/>
        </w:rPr>
        <w:t>维修</w:t>
      </w:r>
      <w:r>
        <w:rPr>
          <w:rFonts w:hint="eastAsia" w:ascii="微软雅黑" w:hAnsi="微软雅黑" w:eastAsia="微软雅黑" w:cs="微软雅黑"/>
          <w:color w:val="auto"/>
          <w:lang w:eastAsia="zh-CN"/>
        </w:rPr>
        <w:t>记录</w:t>
      </w:r>
    </w:p>
    <w:p>
      <w:pPr>
        <w:pStyle w:val="15"/>
        <w:numPr>
          <w:ilvl w:val="0"/>
          <w:numId w:val="3"/>
        </w:numPr>
        <w:rPr>
          <w:rFonts w:ascii="微软雅黑" w:hAnsi="微软雅黑" w:eastAsia="微软雅黑" w:cs="微软雅黑"/>
          <w:color w:val="auto"/>
        </w:rPr>
      </w:pPr>
      <w:r>
        <w:rPr>
          <w:rFonts w:hint="eastAsia" w:ascii="微软雅黑" w:hAnsi="微软雅黑" w:eastAsia="微软雅黑" w:cs="微软雅黑"/>
          <w:color w:val="auto"/>
        </w:rPr>
        <w:t>维修标识</w:t>
      </w:r>
    </w:p>
    <w:p>
      <w:pPr>
        <w:pStyle w:val="15"/>
        <w:numPr>
          <w:ilvl w:val="0"/>
          <w:numId w:val="3"/>
        </w:numPr>
        <w:rPr>
          <w:rFonts w:ascii="微软雅黑" w:hAnsi="微软雅黑" w:eastAsia="微软雅黑" w:cs="微软雅黑"/>
          <w:color w:val="auto"/>
          <w:lang w:eastAsia="zh-CN"/>
        </w:rPr>
      </w:pPr>
      <w:r>
        <w:rPr>
          <w:rFonts w:hint="eastAsia" w:ascii="微软雅黑" w:hAnsi="微软雅黑" w:eastAsia="微软雅黑" w:cs="微软雅黑"/>
          <w:color w:val="auto"/>
        </w:rPr>
        <w:t xml:space="preserve">综合年检报告 </w:t>
      </w:r>
    </w:p>
    <w:p>
      <w:pPr>
        <w:pStyle w:val="15"/>
        <w:numPr>
          <w:ilvl w:val="0"/>
          <w:numId w:val="0"/>
        </w:numPr>
        <w:ind w:left="360"/>
        <w:rPr>
          <w:rFonts w:ascii="微软雅黑" w:hAnsi="微软雅黑" w:eastAsia="微软雅黑" w:cs="微软雅黑"/>
          <w:color w:val="auto"/>
          <w:lang w:eastAsia="zh-CN"/>
        </w:rPr>
      </w:pP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1.零部件</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质保和安全条款仅适用于蓝魔方原装零部件。零部件可咨询蓝魔方销售团队或当地经销商。</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2.维护</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1）为了保持蓝魔方游戏装备的最佳外观和使用寿命，必须定期进行常规检查，以检测是否有任何破坏行为、鞋印或其他损坏，以防止它们扩大。</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2）装备表面应始终保持清洁，避免任何可见的异物，如垃圾、树叶、树皮、沙子、泥巴等。如果树叶或任何其他有机碎屑长时间覆盖该区域，可能会导致腐烂并导致黑点、藻类、苔藓、杂草或真菌，也可能降低防滑功能并影响排水能力。根据使用水平、位置和周围条件，建议每天、每周或每月清扫表面。在维护检查期间，还建议检查形状、边缘和密封部分。</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 xml:space="preserve">3）大多数污渍可用热水去除。不要使用任何清洁剂、溶剂、漂白剂等清洁表面，因为这可能损坏表面并使质保失效。              </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4）如果您对蓝魔方装备产品有任何疑问，请随时联系我们。</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3.修理</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1）由破坏、涂鸦、火灾、刺穿痕迹或其他意外损坏造成的损坏一般都很容易修复，具体详见检查维修附表。</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2）我们始终建议对受损区域进行不同颜色的维修，以便能辨识此处为维修处理过。</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3）所有维修工作都应由专业人员进行。</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 xml:space="preserve">4.保养 </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1）木材表面的保养建议按每年保养一次，具体清理木材表面的污渍后用砂纸将木材表面打磨均匀，再用清水或中性洗涤剂擦洗表面，干燥后用木蜡油对木材表面做好保护处理，来增强其表面的防水防污性能。</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2）布料表面的保养建议按每月保养一次，具体用柔软的湿棉布擦洗表面晾干即可。</w:t>
      </w:r>
    </w:p>
    <w:p>
      <w:pPr>
        <w:pStyle w:val="13"/>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3）不锈钢或铁件表面的保养建议按每年保养一次，具体用柔软的布擦干净后用清水或中性洗涤剂清洗。清洗不锈钢表面时必须注意不发生表面划伤现象，避免使用漂白成份以及研磨剂的洗涤液、钢丝球、研磨工具等，为除掉洗涤液，洗涤结束时用清水冲洗表面。</w:t>
      </w:r>
    </w:p>
    <w:p>
      <w:pPr>
        <w:pStyle w:val="12"/>
        <w:rPr>
          <w:rFonts w:ascii="微软雅黑" w:hAnsi="微软雅黑" w:eastAsia="微软雅黑" w:cs="微软雅黑"/>
          <w:color w:val="auto"/>
          <w:sz w:val="24"/>
          <w:szCs w:val="24"/>
          <w:lang w:eastAsia="zh-CN"/>
        </w:rPr>
      </w:pPr>
    </w:p>
    <w:p>
      <w:pPr>
        <w:pStyle w:val="12"/>
        <w:rPr>
          <w:rFonts w:ascii="微软雅黑" w:hAnsi="微软雅黑" w:eastAsia="微软雅黑" w:cs="微软雅黑"/>
          <w:color w:val="auto"/>
          <w:sz w:val="24"/>
          <w:szCs w:val="24"/>
          <w:lang w:eastAsia="zh-CN"/>
        </w:rPr>
      </w:pPr>
    </w:p>
    <w:p>
      <w:pPr>
        <w:pStyle w:val="12"/>
        <w:rPr>
          <w:rFonts w:ascii="微软雅黑" w:hAnsi="微软雅黑" w:eastAsia="微软雅黑" w:cs="微软雅黑"/>
          <w:color w:val="auto"/>
          <w:sz w:val="24"/>
          <w:szCs w:val="24"/>
          <w:lang w:eastAsia="zh-CN"/>
        </w:rPr>
      </w:pPr>
    </w:p>
    <w:p>
      <w:pPr>
        <w:pStyle w:val="12"/>
        <w:rPr>
          <w:rFonts w:ascii="微软雅黑" w:hAnsi="微软雅黑" w:eastAsia="微软雅黑" w:cs="微软雅黑"/>
          <w:color w:val="auto"/>
          <w:sz w:val="24"/>
          <w:szCs w:val="24"/>
          <w:lang w:eastAsia="zh-CN"/>
        </w:rPr>
      </w:pPr>
    </w:p>
    <w:p>
      <w:pPr>
        <w:pStyle w:val="12"/>
        <w:rPr>
          <w:rFonts w:ascii="微软雅黑" w:hAnsi="微软雅黑" w:eastAsia="微软雅黑" w:cs="微软雅黑"/>
          <w:color w:val="auto"/>
          <w:sz w:val="24"/>
          <w:szCs w:val="24"/>
          <w:lang w:eastAsia="zh-CN"/>
        </w:rPr>
      </w:pPr>
    </w:p>
    <w:p>
      <w:pPr>
        <w:pStyle w:val="12"/>
        <w:rPr>
          <w:rFonts w:ascii="微软雅黑" w:hAnsi="微软雅黑" w:eastAsia="微软雅黑" w:cs="微软雅黑"/>
          <w:color w:val="auto"/>
          <w:sz w:val="24"/>
          <w:szCs w:val="24"/>
          <w:lang w:eastAsia="zh-CN"/>
        </w:rPr>
      </w:pPr>
    </w:p>
    <w:p>
      <w:pPr>
        <w:pStyle w:val="12"/>
        <w:rPr>
          <w:color w:val="auto"/>
          <w:sz w:val="24"/>
          <w:szCs w:val="24"/>
          <w:lang w:eastAsia="zh-CN"/>
        </w:rPr>
      </w:pPr>
      <w:r>
        <w:rPr>
          <w:rFonts w:hint="eastAsia" w:ascii="微软雅黑" w:hAnsi="微软雅黑" w:eastAsia="微软雅黑" w:cs="微软雅黑"/>
          <w:color w:val="auto"/>
          <w:sz w:val="24"/>
          <w:szCs w:val="24"/>
          <w:lang w:eastAsia="zh-CN"/>
        </w:rPr>
        <w:t>五、检查与维修</w:t>
      </w:r>
    </w:p>
    <w:tbl>
      <w:tblPr>
        <w:tblStyle w:val="6"/>
        <w:tblW w:w="9638" w:type="dxa"/>
        <w:tblInd w:w="0"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Layout w:type="autofit"/>
        <w:tblCellMar>
          <w:top w:w="0" w:type="dxa"/>
          <w:left w:w="0" w:type="dxa"/>
          <w:bottom w:w="0" w:type="dxa"/>
          <w:right w:w="0" w:type="dxa"/>
        </w:tblCellMar>
      </w:tblPr>
      <w:tblGrid>
        <w:gridCol w:w="1301"/>
        <w:gridCol w:w="3175"/>
        <w:gridCol w:w="3175"/>
        <w:gridCol w:w="493"/>
        <w:gridCol w:w="493"/>
        <w:gridCol w:w="493"/>
        <w:gridCol w:w="493"/>
        <w:gridCol w:w="15"/>
      </w:tblGrid>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397" w:hRule="atLeast"/>
        </w:trPr>
        <w:tc>
          <w:tcPr>
            <w:tcW w:w="9638" w:type="dxa"/>
            <w:gridSpan w:val="8"/>
            <w:tcBorders>
              <w:top w:val="nil"/>
              <w:left w:val="nil"/>
              <w:bottom w:val="nil"/>
              <w:right w:val="nil"/>
            </w:tcBorders>
            <w:shd w:val="clear" w:color="auto" w:fill="auto"/>
            <w:tcMar>
              <w:top w:w="68" w:type="dxa"/>
              <w:left w:w="68" w:type="dxa"/>
              <w:bottom w:w="68" w:type="dxa"/>
              <w:right w:w="68" w:type="dxa"/>
            </w:tcMar>
            <w:vAlign w:val="center"/>
          </w:tcPr>
          <w:p>
            <w:pPr>
              <w:pStyle w:val="19"/>
              <w:rPr>
                <w:rFonts w:ascii="微软雅黑" w:hAnsi="微软雅黑" w:eastAsia="微软雅黑" w:cs="微软雅黑"/>
                <w:color w:val="auto"/>
                <w:sz w:val="20"/>
                <w:szCs w:val="20"/>
              </w:rPr>
            </w:pPr>
            <w:r>
              <w:rPr>
                <w:rStyle w:val="20"/>
                <w:rFonts w:hint="eastAsia" w:ascii="微软雅黑" w:hAnsi="微软雅黑" w:eastAsia="微软雅黑" w:cs="微软雅黑"/>
                <w:color w:val="auto"/>
                <w:sz w:val="20"/>
                <w:szCs w:val="20"/>
              </w:rPr>
              <w:t>重要!</w:t>
            </w:r>
            <w:r>
              <w:rPr>
                <w:rFonts w:hint="eastAsia" w:ascii="微软雅黑" w:hAnsi="微软雅黑" w:eastAsia="微软雅黑" w:cs="微软雅黑"/>
                <w:color w:val="auto"/>
                <w:sz w:val="20"/>
                <w:szCs w:val="20"/>
              </w:rPr>
              <w:t xml:space="preserve"> 检查时应严格按照此说明书和具体产品的安装说明进行。除此之外，产品系列也提供通用指导可以借鉴。</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520" w:hRule="atLeast"/>
        </w:trPr>
        <w:tc>
          <w:tcPr>
            <w:tcW w:w="9638" w:type="dxa"/>
            <w:gridSpan w:val="8"/>
            <w:tcBorders>
              <w:top w:val="nil"/>
              <w:left w:val="nil"/>
              <w:bottom w:val="nil"/>
              <w:right w:val="nil"/>
            </w:tcBorders>
            <w:shd w:val="clear" w:color="auto" w:fill="auto"/>
            <w:tcMar>
              <w:top w:w="68" w:type="dxa"/>
              <w:left w:w="68" w:type="dxa"/>
              <w:bottom w:w="68" w:type="dxa"/>
              <w:right w:w="68" w:type="dxa"/>
            </w:tcMar>
            <w:vAlign w:val="center"/>
          </w:tcPr>
          <w:p>
            <w:pPr>
              <w:pStyle w:val="12"/>
              <w:spacing w:line="15" w:lineRule="auto"/>
              <w:rPr>
                <w:rStyle w:val="20"/>
                <w:rFonts w:ascii="微软雅黑" w:hAnsi="微软雅黑" w:eastAsia="微软雅黑" w:cs="微软雅黑"/>
                <w:b w:val="0"/>
                <w:color w:val="auto"/>
                <w:sz w:val="20"/>
                <w:szCs w:val="20"/>
              </w:rPr>
            </w:pPr>
            <w:r>
              <w:rPr>
                <w:rStyle w:val="20"/>
                <w:rFonts w:hint="eastAsia" w:ascii="微软雅黑" w:hAnsi="微软雅黑" w:eastAsia="微软雅黑" w:cs="微软雅黑"/>
                <w:b/>
                <w:color w:val="auto"/>
                <w:kern w:val="2"/>
                <w:sz w:val="21"/>
                <w:szCs w:val="21"/>
                <w:lang w:eastAsia="zh-CN"/>
              </w:rPr>
              <w:t>表1</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227" w:hRule="atLeast"/>
        </w:trPr>
        <w:tc>
          <w:tcPr>
            <w:tcW w:w="9638" w:type="dxa"/>
            <w:gridSpan w:val="8"/>
            <w:tcBorders>
              <w:top w:val="nil"/>
              <w:left w:val="single" w:color="auto" w:sz="4" w:space="0"/>
              <w:bottom w:val="single" w:color="auto" w:sz="4" w:space="0"/>
              <w:right w:val="single" w:color="auto" w:sz="4" w:space="0"/>
            </w:tcBorders>
            <w:shd w:val="clear" w:color="auto" w:fill="3F3F3F" w:themeFill="text1" w:themeFillTint="BF"/>
            <w:tcMar>
              <w:top w:w="68" w:type="dxa"/>
              <w:left w:w="68" w:type="dxa"/>
              <w:bottom w:w="68" w:type="dxa"/>
              <w:right w:w="68" w:type="dxa"/>
            </w:tcMar>
          </w:tcPr>
          <w:p>
            <w:pPr>
              <w:pStyle w:val="23"/>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rPr>
              <w:t>概览</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1301"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2"/>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rPr>
              <w:t>区域</w:t>
            </w:r>
          </w:p>
        </w:tc>
        <w:tc>
          <w:tcPr>
            <w:tcW w:w="3175"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2"/>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rPr>
              <w:t>检查</w:t>
            </w:r>
          </w:p>
        </w:tc>
        <w:tc>
          <w:tcPr>
            <w:tcW w:w="3175"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2"/>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rPr>
              <w:t>维修</w:t>
            </w:r>
          </w:p>
        </w:tc>
        <w:tc>
          <w:tcPr>
            <w:tcW w:w="493" w:type="dxa"/>
            <w:tcBorders>
              <w:top w:val="single" w:color="auto" w:sz="4" w:space="0"/>
              <w:left w:val="nil"/>
              <w:bottom w:val="nil"/>
              <w:right w:val="nil"/>
            </w:tcBorders>
            <w:shd w:val="clear" w:color="auto" w:fill="auto"/>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single" w:color="auto" w:sz="4" w:space="0"/>
              <w:left w:val="nil"/>
              <w:bottom w:val="nil"/>
              <w:right w:val="nil"/>
            </w:tcBorders>
            <w:shd w:val="clear" w:color="auto" w:fill="auto"/>
            <w:tcMar>
              <w:top w:w="68" w:type="dxa"/>
              <w:left w:w="68" w:type="dxa"/>
              <w:bottom w:w="68" w:type="dxa"/>
              <w:right w:w="68" w:type="dxa"/>
            </w:tcMar>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01"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清洁度</w:t>
            </w:r>
          </w:p>
        </w:tc>
        <w:tc>
          <w:tcPr>
            <w:tcW w:w="3175"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检查外观。</w:t>
            </w:r>
          </w:p>
        </w:tc>
        <w:tc>
          <w:tcPr>
            <w:tcW w:w="3175"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去掉产品上沙土、灰尘。</w:t>
            </w:r>
          </w:p>
        </w:tc>
        <w:tc>
          <w:tcPr>
            <w:tcW w:w="493" w:type="dxa"/>
            <w:tcBorders>
              <w:top w:val="single" w:color="AEAAAA" w:themeColor="background2" w:themeShade="BF" w:sz="4" w:space="0"/>
              <w:bottom w:val="single" w:color="AEAAAA" w:themeColor="background2" w:themeShade="BF" w:sz="4" w:space="0"/>
            </w:tcBorders>
            <w:shd w:val="clear" w:color="auto" w:fill="FFFFFF"/>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01" w:type="dxa"/>
            <w:tcBorders>
              <w:top w:val="single" w:color="AEAAAA" w:themeColor="background2" w:themeShade="BF" w:sz="4" w:space="0"/>
            </w:tcBorders>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铁质部件</w:t>
            </w:r>
          </w:p>
        </w:tc>
        <w:tc>
          <w:tcPr>
            <w:tcW w:w="3175" w:type="dxa"/>
            <w:tcBorders>
              <w:top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检查破损、尖锐、或者缺失部件。</w:t>
            </w:r>
          </w:p>
        </w:tc>
        <w:tc>
          <w:tcPr>
            <w:tcW w:w="3175" w:type="dxa"/>
            <w:tcBorders>
              <w:top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如有必要修补或更换。</w:t>
            </w:r>
          </w:p>
        </w:tc>
        <w:tc>
          <w:tcPr>
            <w:tcW w:w="493" w:type="dxa"/>
            <w:tcBorders>
              <w:top w:val="single" w:color="AEAAAA" w:themeColor="background2" w:themeShade="BF" w:sz="4" w:space="0"/>
            </w:tcBorders>
            <w:shd w:val="clear" w:color="auto" w:fill="FFFFFF"/>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90" w:hRule="atLeast"/>
        </w:trPr>
        <w:tc>
          <w:tcPr>
            <w:tcW w:w="1301" w:type="dxa"/>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布料件</w:t>
            </w:r>
          </w:p>
        </w:tc>
        <w:tc>
          <w:tcPr>
            <w:tcW w:w="317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检查是否破损或漏口。</w:t>
            </w:r>
          </w:p>
          <w:p>
            <w:pPr>
              <w:pStyle w:val="19"/>
              <w:rPr>
                <w:rFonts w:ascii="微软雅黑" w:hAnsi="微软雅黑" w:eastAsia="微软雅黑" w:cs="微软雅黑"/>
                <w:color w:val="auto"/>
                <w:sz w:val="16"/>
                <w:szCs w:val="16"/>
              </w:rPr>
            </w:pPr>
          </w:p>
        </w:tc>
        <w:tc>
          <w:tcPr>
            <w:tcW w:w="317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如有必要，应进行修补或替换。</w:t>
            </w:r>
          </w:p>
        </w:tc>
        <w:tc>
          <w:tcPr>
            <w:tcW w:w="493" w:type="dxa"/>
            <w:shd w:val="clear" w:color="auto" w:fill="FFFFFF"/>
            <w:vAlign w:val="center"/>
          </w:tcPr>
          <w:p>
            <w:pPr>
              <w:pStyle w:val="19"/>
              <w:jc w:val="center"/>
              <w:rPr>
                <w:rFonts w:ascii="微软雅黑" w:hAnsi="微软雅黑" w:eastAsia="微软雅黑" w:cs="微软雅黑"/>
                <w:color w:val="auto"/>
                <w:sz w:val="16"/>
                <w:szCs w:val="16"/>
              </w:rPr>
            </w:pP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01" w:type="dxa"/>
            <w:vMerge w:val="restart"/>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活动部件</w:t>
            </w:r>
          </w:p>
        </w:tc>
        <w:tc>
          <w:tcPr>
            <w:tcW w:w="3175" w:type="dxa"/>
            <w:tcBorders>
              <w:bottom w:val="single" w:color="AEAAAA" w:themeColor="background2" w:themeShade="BF" w:sz="6"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检查活动部分是否工作正常。</w:t>
            </w:r>
          </w:p>
        </w:tc>
        <w:tc>
          <w:tcPr>
            <w:tcW w:w="3175" w:type="dxa"/>
            <w:tcBorders>
              <w:bottom w:val="single" w:color="AEAAAA" w:themeColor="background2" w:themeShade="BF" w:sz="6"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如有必要请更换。</w:t>
            </w:r>
          </w:p>
        </w:tc>
        <w:tc>
          <w:tcPr>
            <w:tcW w:w="493" w:type="dxa"/>
            <w:tcBorders>
              <w:bottom w:val="single" w:color="AEAAAA" w:themeColor="background2" w:themeShade="BF" w:sz="6" w:space="0"/>
            </w:tcBorders>
            <w:shd w:val="clear" w:color="auto" w:fill="FFFFFF"/>
            <w:vAlign w:val="center"/>
          </w:tcPr>
          <w:p>
            <w:pPr>
              <w:pStyle w:val="19"/>
              <w:jc w:val="center"/>
              <w:rPr>
                <w:rFonts w:ascii="微软雅黑" w:hAnsi="微软雅黑" w:eastAsia="微软雅黑" w:cs="微软雅黑"/>
                <w:color w:val="auto"/>
                <w:sz w:val="16"/>
                <w:szCs w:val="16"/>
                <w:lang w:val="da-DK"/>
              </w:rPr>
            </w:pP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01" w:type="dxa"/>
            <w:vMerge w:val="continue"/>
            <w:vAlign w:val="center"/>
          </w:tcPr>
          <w:p>
            <w:pPr>
              <w:pStyle w:val="19"/>
              <w:jc w:val="left"/>
              <w:rPr>
                <w:rFonts w:ascii="微软雅黑" w:hAnsi="微软雅黑" w:eastAsia="微软雅黑" w:cs="微软雅黑"/>
                <w:color w:val="auto"/>
                <w:sz w:val="16"/>
                <w:szCs w:val="16"/>
                <w:lang w:val="da-DK"/>
              </w:rPr>
            </w:pPr>
          </w:p>
        </w:tc>
        <w:tc>
          <w:tcPr>
            <w:tcW w:w="3175" w:type="dxa"/>
            <w:tcBorders>
              <w:top w:val="single" w:color="AEAAAA" w:themeColor="background2" w:themeShade="BF" w:sz="6" w:space="0"/>
              <w:bottom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检查防护层是否受到损害。</w:t>
            </w:r>
          </w:p>
        </w:tc>
        <w:tc>
          <w:tcPr>
            <w:tcW w:w="3175" w:type="dxa"/>
            <w:tcBorders>
              <w:top w:val="single" w:color="AEAAAA" w:themeColor="background2" w:themeShade="BF" w:sz="6" w:space="0"/>
              <w:bottom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如有必要请修复。</w:t>
            </w:r>
          </w:p>
        </w:tc>
        <w:tc>
          <w:tcPr>
            <w:tcW w:w="493" w:type="dxa"/>
            <w:tcBorders>
              <w:top w:val="single" w:color="AEAAAA" w:themeColor="background2" w:themeShade="BF" w:sz="6" w:space="0"/>
              <w:bottom w:val="single" w:color="AEAAAA" w:themeColor="background2" w:themeShade="BF" w:sz="4" w:space="0"/>
            </w:tcBorders>
            <w:shd w:val="clear" w:color="auto" w:fill="FFFFFF"/>
            <w:vAlign w:val="center"/>
          </w:tcPr>
          <w:p>
            <w:pPr>
              <w:pStyle w:val="19"/>
              <w:jc w:val="center"/>
              <w:rPr>
                <w:rFonts w:ascii="微软雅黑" w:hAnsi="微软雅黑" w:eastAsia="微软雅黑" w:cs="微软雅黑"/>
                <w:color w:val="auto"/>
                <w:sz w:val="16"/>
                <w:szCs w:val="16"/>
                <w:lang w:val="da-DK"/>
              </w:rPr>
            </w:pPr>
          </w:p>
        </w:tc>
        <w:tc>
          <w:tcPr>
            <w:tcW w:w="493" w:type="dxa"/>
            <w:tcBorders>
              <w:top w:val="single" w:color="AEAAAA" w:themeColor="background2" w:themeShade="BF" w:sz="6"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6"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6"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1301" w:type="dxa"/>
            <w:vMerge w:val="continue"/>
            <w:vAlign w:val="center"/>
          </w:tcPr>
          <w:p>
            <w:pPr>
              <w:pStyle w:val="19"/>
              <w:jc w:val="left"/>
              <w:rPr>
                <w:rFonts w:ascii="微软雅黑" w:hAnsi="微软雅黑" w:eastAsia="微软雅黑" w:cs="微软雅黑"/>
                <w:color w:val="auto"/>
                <w:sz w:val="16"/>
                <w:szCs w:val="16"/>
                <w:lang w:val="da-DK"/>
              </w:rPr>
            </w:pPr>
          </w:p>
        </w:tc>
        <w:tc>
          <w:tcPr>
            <w:tcW w:w="8322" w:type="dxa"/>
            <w:gridSpan w:val="6"/>
            <w:tcBorders>
              <w:top w:val="single" w:color="AEAAAA" w:themeColor="background2" w:themeShade="BF" w:sz="6" w:space="0"/>
              <w:bottom w:val="single" w:color="AEAAAA" w:themeColor="background2" w:themeShade="BF" w:sz="4" w:space="0"/>
            </w:tcBorders>
            <w:shd w:val="clear" w:color="auto" w:fill="FFFFFF"/>
            <w:tcMar>
              <w:top w:w="68" w:type="dxa"/>
              <w:left w:w="68" w:type="dxa"/>
              <w:bottom w:w="68" w:type="dxa"/>
              <w:right w:w="68" w:type="dxa"/>
            </w:tcMar>
          </w:tcPr>
          <w:p>
            <w:pPr>
              <w:pStyle w:val="22"/>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活动部件示例：</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567" w:hRule="atLeast"/>
        </w:trPr>
        <w:tc>
          <w:tcPr>
            <w:tcW w:w="1301" w:type="dxa"/>
            <w:vMerge w:val="continue"/>
            <w:vAlign w:val="center"/>
          </w:tcPr>
          <w:p>
            <w:pPr>
              <w:pStyle w:val="19"/>
              <w:jc w:val="left"/>
              <w:rPr>
                <w:rFonts w:ascii="微软雅黑" w:hAnsi="微软雅黑" w:eastAsia="微软雅黑" w:cs="微软雅黑"/>
                <w:color w:val="auto"/>
                <w:sz w:val="16"/>
                <w:szCs w:val="16"/>
                <w:lang w:val="da-DK"/>
              </w:rPr>
            </w:pPr>
          </w:p>
        </w:tc>
        <w:tc>
          <w:tcPr>
            <w:tcW w:w="317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野战帐篷</w:t>
            </w:r>
          </w:p>
        </w:tc>
        <w:tc>
          <w:tcPr>
            <w:tcW w:w="317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磨损超过50%进行更换 、出现断裂或者其他损毁表现进行更换。</w:t>
            </w:r>
          </w:p>
        </w:tc>
        <w:tc>
          <w:tcPr>
            <w:tcW w:w="493" w:type="dxa"/>
            <w:shd w:val="clear" w:color="auto" w:fill="FFFFFF"/>
            <w:vAlign w:val="center"/>
          </w:tcPr>
          <w:p>
            <w:pPr>
              <w:pStyle w:val="19"/>
              <w:jc w:val="center"/>
              <w:rPr>
                <w:rFonts w:ascii="微软雅黑" w:hAnsi="微软雅黑" w:eastAsia="微软雅黑" w:cs="微软雅黑"/>
                <w:color w:val="auto"/>
                <w:sz w:val="16"/>
                <w:szCs w:val="16"/>
              </w:rPr>
            </w:pP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bl>
    <w:tbl>
      <w:tblPr>
        <w:tblStyle w:val="6"/>
        <w:tblpPr w:leftFromText="180" w:rightFromText="180" w:vertAnchor="text" w:horzAnchor="page" w:tblpX="1837" w:tblpY="184"/>
        <w:tblOverlap w:val="never"/>
        <w:tblW w:w="7602" w:type="dxa"/>
        <w:tblInd w:w="0" w:type="dxa"/>
        <w:tblLayout w:type="autofit"/>
        <w:tblCellMar>
          <w:top w:w="0" w:type="dxa"/>
          <w:left w:w="0" w:type="dxa"/>
          <w:bottom w:w="0" w:type="dxa"/>
          <w:right w:w="0" w:type="dxa"/>
        </w:tblCellMar>
      </w:tblPr>
      <w:tblGrid>
        <w:gridCol w:w="227"/>
        <w:gridCol w:w="7375"/>
      </w:tblGrid>
      <w:tr>
        <w:tblPrEx>
          <w:tblCellMar>
            <w:top w:w="0" w:type="dxa"/>
            <w:left w:w="0" w:type="dxa"/>
            <w:bottom w:w="0" w:type="dxa"/>
            <w:right w:w="0" w:type="dxa"/>
          </w:tblCellMar>
        </w:tblPrEx>
        <w:trPr>
          <w:trHeight w:val="57" w:hRule="atLeast"/>
        </w:trPr>
        <w:tc>
          <w:tcPr>
            <w:tcW w:w="227" w:type="dxa"/>
            <w:vAlign w:val="center"/>
          </w:tcPr>
          <w:p>
            <w:pPr>
              <w:pStyle w:val="19"/>
              <w:jc w:val="center"/>
              <w:rPr>
                <w:rFonts w:hint="eastAsia" w:ascii="微软雅黑" w:hAnsi="微软雅黑" w:eastAsia="微软雅黑" w:cs="微软雅黑"/>
                <w:color w:val="auto"/>
                <w:sz w:val="16"/>
                <w:szCs w:val="16"/>
                <w:lang w:val="en-US" w:eastAsia="zh-CN"/>
              </w:rPr>
            </w:pPr>
            <w:r>
              <w:rPr>
                <w:rFonts w:hint="eastAsia" w:ascii="微软雅黑" w:hAnsi="微软雅黑" w:eastAsia="微软雅黑" w:cs="微软雅黑"/>
                <w:color w:val="auto"/>
                <w:sz w:val="16"/>
                <w:szCs w:val="16"/>
              </w:rPr>
              <w:drawing>
                <wp:inline distT="0" distB="0" distL="0" distR="0">
                  <wp:extent cx="107950" cy="107950"/>
                  <wp:effectExtent l="0" t="0" r="635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lang w:val="da-DK" w:eastAsia="zh-CN"/>
              </w:rPr>
            </w:pPr>
            <w:r>
              <w:rPr>
                <w:rFonts w:hint="eastAsia" w:ascii="微软雅黑" w:hAnsi="微软雅黑" w:eastAsia="微软雅黑" w:cs="微软雅黑"/>
                <w:color w:val="auto"/>
                <w:sz w:val="16"/>
                <w:szCs w:val="16"/>
                <w:lang w:eastAsia="zh-CN"/>
              </w:rPr>
              <w:t>每天/每周进行目测常规检查</w:t>
            </w:r>
          </w:p>
        </w:tc>
      </w:tr>
      <w:tr>
        <w:tblPrEx>
          <w:tblCellMar>
            <w:top w:w="0" w:type="dxa"/>
            <w:left w:w="0" w:type="dxa"/>
            <w:bottom w:w="0" w:type="dxa"/>
            <w:right w:w="0" w:type="dxa"/>
          </w:tblCellMar>
        </w:tblPrEx>
        <w:trPr>
          <w:trHeight w:val="57" w:hRule="atLeast"/>
        </w:trPr>
        <w:tc>
          <w:tcPr>
            <w:tcW w:w="227" w:type="dxa"/>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drawing>
                <wp:inline distT="0" distB="0" distL="0" distR="0">
                  <wp:extent cx="107950" cy="107950"/>
                  <wp:effectExtent l="0" t="0" r="6350" b="635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t>每1-3个月进行操作检查</w:t>
            </w:r>
          </w:p>
        </w:tc>
      </w:tr>
      <w:tr>
        <w:tblPrEx>
          <w:tblCellMar>
            <w:top w:w="0" w:type="dxa"/>
            <w:left w:w="0" w:type="dxa"/>
            <w:bottom w:w="0" w:type="dxa"/>
            <w:right w:w="0" w:type="dxa"/>
          </w:tblCellMar>
        </w:tblPrEx>
        <w:trPr>
          <w:trHeight w:val="57" w:hRule="atLeast"/>
        </w:trPr>
        <w:tc>
          <w:tcPr>
            <w:tcW w:w="227" w:type="dxa"/>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drawing>
                <wp:inline distT="0" distB="0" distL="0" distR="0">
                  <wp:extent cx="107950" cy="107950"/>
                  <wp:effectExtent l="0" t="0" r="6350" b="635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每年或每半年进行主要检查</w:t>
            </w:r>
          </w:p>
        </w:tc>
      </w:tr>
      <w:tr>
        <w:tblPrEx>
          <w:tblCellMar>
            <w:top w:w="0" w:type="dxa"/>
            <w:left w:w="0" w:type="dxa"/>
            <w:bottom w:w="0" w:type="dxa"/>
            <w:right w:w="0" w:type="dxa"/>
          </w:tblCellMar>
        </w:tblPrEx>
        <w:trPr>
          <w:trHeight w:val="57" w:hRule="atLeast"/>
        </w:trPr>
        <w:tc>
          <w:tcPr>
            <w:tcW w:w="227" w:type="dxa"/>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drawing>
                <wp:inline distT="0" distB="0" distL="0" distR="0">
                  <wp:extent cx="107950" cy="107950"/>
                  <wp:effectExtent l="0" t="0" r="6350" b="635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每两年进行额外的主要检查</w:t>
            </w:r>
          </w:p>
        </w:tc>
      </w:tr>
    </w:tbl>
    <w:p>
      <w:pPr>
        <w:pStyle w:val="19"/>
        <w:rPr>
          <w:rFonts w:ascii="微软雅黑" w:hAnsi="微软雅黑" w:eastAsia="微软雅黑" w:cs="微软雅黑"/>
          <w:color w:val="auto"/>
          <w:sz w:val="16"/>
          <w:szCs w:val="16"/>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tbl>
      <w:tblPr>
        <w:tblStyle w:val="6"/>
        <w:tblW w:w="9638" w:type="dxa"/>
        <w:tblInd w:w="0"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Layout w:type="autofit"/>
        <w:tblCellMar>
          <w:top w:w="0" w:type="dxa"/>
          <w:left w:w="0" w:type="dxa"/>
          <w:bottom w:w="0" w:type="dxa"/>
          <w:right w:w="0" w:type="dxa"/>
        </w:tblCellMar>
      </w:tblPr>
      <w:tblGrid>
        <w:gridCol w:w="1345"/>
        <w:gridCol w:w="3155"/>
        <w:gridCol w:w="3153"/>
        <w:gridCol w:w="491"/>
        <w:gridCol w:w="493"/>
        <w:gridCol w:w="493"/>
        <w:gridCol w:w="493"/>
        <w:gridCol w:w="15"/>
      </w:tblGrid>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trHeight w:val="567" w:hRule="atLeast"/>
        </w:trPr>
        <w:tc>
          <w:tcPr>
            <w:tcW w:w="9638" w:type="dxa"/>
            <w:gridSpan w:val="8"/>
            <w:tcBorders>
              <w:top w:val="nil"/>
              <w:left w:val="nil"/>
              <w:bottom w:val="nil"/>
              <w:right w:val="nil"/>
            </w:tcBorders>
            <w:shd w:val="clear" w:color="auto" w:fill="auto"/>
            <w:tcMar>
              <w:top w:w="68" w:type="dxa"/>
              <w:left w:w="68" w:type="dxa"/>
              <w:bottom w:w="68" w:type="dxa"/>
              <w:right w:w="68" w:type="dxa"/>
            </w:tcMar>
            <w:vAlign w:val="center"/>
          </w:tcPr>
          <w:p>
            <w:pPr>
              <w:pStyle w:val="12"/>
              <w:rPr>
                <w:rFonts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eastAsia="zh-CN"/>
              </w:rPr>
              <w:t>表2</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9623" w:type="dxa"/>
            <w:gridSpan w:val="7"/>
            <w:tcBorders>
              <w:top w:val="nil"/>
              <w:left w:val="nil"/>
              <w:bottom w:val="nil"/>
              <w:right w:val="nil"/>
            </w:tcBorders>
            <w:shd w:val="clear" w:color="auto" w:fill="3F3F3F" w:themeFill="text1" w:themeFillTint="BF"/>
            <w:tcMar>
              <w:top w:w="68" w:type="dxa"/>
              <w:left w:w="68" w:type="dxa"/>
              <w:bottom w:w="68" w:type="dxa"/>
              <w:right w:w="68" w:type="dxa"/>
            </w:tcMar>
            <w:vAlign w:val="center"/>
          </w:tcPr>
          <w:p>
            <w:pPr>
              <w:pStyle w:val="23"/>
              <w:rPr>
                <w:rFonts w:ascii="微软雅黑" w:hAnsi="微软雅黑" w:eastAsia="微软雅黑" w:cs="微软雅黑"/>
                <w:color w:val="auto"/>
                <w:sz w:val="21"/>
                <w:szCs w:val="21"/>
                <w:lang w:val="da-DK"/>
              </w:rPr>
            </w:pPr>
            <w:r>
              <w:rPr>
                <w:rFonts w:hint="eastAsia" w:ascii="微软雅黑" w:hAnsi="微软雅黑" w:eastAsia="微软雅黑" w:cs="微软雅黑"/>
                <w:color w:val="auto"/>
                <w:sz w:val="20"/>
                <w:szCs w:val="20"/>
                <w:lang w:val="da-DK"/>
              </w:rPr>
              <w:t>木材部件</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9623" w:type="dxa"/>
            <w:gridSpan w:val="7"/>
            <w:tcBorders>
              <w:top w:val="nil"/>
              <w:left w:val="nil"/>
              <w:bottom w:val="nil"/>
              <w:right w:val="nil"/>
            </w:tcBorders>
            <w:shd w:val="clear" w:color="auto" w:fill="auto"/>
            <w:tcMar>
              <w:top w:w="68" w:type="dxa"/>
              <w:left w:w="68" w:type="dxa"/>
              <w:bottom w:w="68" w:type="dxa"/>
              <w:right w:w="68" w:type="dxa"/>
            </w:tcMar>
            <w:vAlign w:val="cente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木材部件由天然的全切木材制成，有开裂的可能。</w:t>
            </w:r>
          </w:p>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设计已考虑到特定范围内的裂纹、缺陷和可变尺寸。除非发生较大的裂缝或缺陷，只要结构完整仍然是可以接受的。对于蓝魔方游戏装备产品的检查和维护，除了一般维护任务外，还应执行以下事项：</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1345"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2"/>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rPr>
              <w:t>区域</w:t>
            </w:r>
          </w:p>
        </w:tc>
        <w:tc>
          <w:tcPr>
            <w:tcW w:w="3155"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2"/>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rPr>
              <w:t>检查</w:t>
            </w:r>
          </w:p>
        </w:tc>
        <w:tc>
          <w:tcPr>
            <w:tcW w:w="315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2"/>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rPr>
              <w:t>维修</w:t>
            </w:r>
          </w:p>
        </w:tc>
        <w:tc>
          <w:tcPr>
            <w:tcW w:w="491" w:type="dxa"/>
            <w:tcBorders>
              <w:top w:val="nil"/>
              <w:left w:val="nil"/>
              <w:bottom w:val="single" w:color="AEAAAA" w:themeColor="background2" w:themeShade="BF" w:sz="4" w:space="0"/>
              <w:right w:val="nil"/>
            </w:tcBorders>
            <w:shd w:val="clear" w:color="auto" w:fill="auto"/>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493" w:type="dxa"/>
            <w:tcBorders>
              <w:top w:val="nil"/>
              <w:left w:val="nil"/>
              <w:bottom w:val="single" w:color="AEAAAA" w:themeColor="background2" w:themeShade="BF" w:sz="4" w:space="0"/>
              <w:right w:val="nil"/>
            </w:tcBorders>
            <w:shd w:val="clear" w:color="auto" w:fill="auto"/>
            <w:tcMar>
              <w:top w:w="68" w:type="dxa"/>
              <w:left w:w="68" w:type="dxa"/>
              <w:bottom w:w="68" w:type="dxa"/>
              <w:right w:w="68" w:type="dxa"/>
            </w:tcMar>
            <w:vAlign w:val="center"/>
          </w:tcPr>
          <w:p>
            <w:pPr>
              <w:pStyle w:val="24"/>
              <w:jc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20"/>
                <w:szCs w:val="20"/>
                <w:lang w:eastAsia="zh-CN"/>
              </w:rPr>
              <w:drawing>
                <wp:inline distT="0" distB="0" distL="0" distR="0">
                  <wp:extent cx="182880" cy="182880"/>
                  <wp:effectExtent l="0" t="0" r="7620" b="76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70" w:hRule="atLeast"/>
        </w:trPr>
        <w:tc>
          <w:tcPr>
            <w:tcW w:w="1345" w:type="dxa"/>
            <w:vMerge w:val="restart"/>
            <w:tcBorders>
              <w:top w:val="single" w:color="AEAAAA" w:themeColor="background2" w:themeShade="BF" w:sz="4" w:space="0"/>
              <w:left w:val="single" w:color="AEAAAA" w:themeColor="background2" w:themeShade="BF" w:sz="4" w:space="0"/>
              <w:right w:val="single" w:color="AEAAAA" w:themeColor="background2" w:themeShade="BF" w:sz="4" w:space="0"/>
            </w:tcBorders>
            <w:shd w:val="clear" w:color="auto" w:fill="auto"/>
            <w:tcMar>
              <w:top w:w="68" w:type="dxa"/>
              <w:left w:w="68" w:type="dxa"/>
              <w:bottom w:w="68" w:type="dxa"/>
              <w:right w:w="68" w:type="dxa"/>
            </w:tcMar>
          </w:tcPr>
          <w:p>
            <w:pPr>
              <w:pStyle w:val="19"/>
              <w:jc w:val="left"/>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检查开裂</w:t>
            </w:r>
          </w:p>
        </w:tc>
        <w:tc>
          <w:tcPr>
            <w:tcW w:w="8278" w:type="dxa"/>
            <w:gridSpan w:val="6"/>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auto"/>
            <w:tcMar>
              <w:top w:w="68" w:type="dxa"/>
              <w:left w:w="68" w:type="dxa"/>
              <w:bottom w:w="68" w:type="dxa"/>
              <w:right w:w="68" w:type="dxa"/>
            </w:tcMar>
            <w:vAlign w:val="cente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检查是否有开裂现象。</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454" w:hRule="atLeast"/>
        </w:trPr>
        <w:tc>
          <w:tcPr>
            <w:tcW w:w="1345" w:type="dxa"/>
            <w:vMerge w:val="continue"/>
            <w:tcBorders>
              <w:left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rPr>
            </w:pPr>
          </w:p>
        </w:tc>
        <w:tc>
          <w:tcPr>
            <w:tcW w:w="3155"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较大的开裂导致螺栓或其他部件无法紧固。</w:t>
            </w:r>
          </w:p>
        </w:tc>
        <w:tc>
          <w:tcPr>
            <w:tcW w:w="3153" w:type="dxa"/>
            <w:vMerge w:val="restart"/>
            <w:tcBorders>
              <w:top w:val="single" w:color="AEAAAA" w:themeColor="background2" w:themeShade="BF" w:sz="4" w:space="0"/>
              <w:left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拍摄现场照片，寻求当地经销商进行相关指导。</w:t>
            </w:r>
          </w:p>
        </w:tc>
        <w:tc>
          <w:tcPr>
            <w:tcW w:w="491"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vAlign w:val="center"/>
          </w:tcPr>
          <w:p>
            <w:pPr>
              <w:pStyle w:val="19"/>
              <w:jc w:val="center"/>
              <w:rPr>
                <w:rFonts w:ascii="微软雅黑" w:hAnsi="微软雅黑" w:eastAsia="微软雅黑" w:cs="微软雅黑"/>
                <w:color w:val="auto"/>
                <w:sz w:val="16"/>
                <w:szCs w:val="16"/>
              </w:rPr>
            </w:pP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454" w:hRule="atLeast"/>
        </w:trPr>
        <w:tc>
          <w:tcPr>
            <w:tcW w:w="1345" w:type="dxa"/>
            <w:vMerge w:val="continue"/>
            <w:tcBorders>
              <w:left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rPr>
            </w:pPr>
          </w:p>
        </w:tc>
        <w:tc>
          <w:tcPr>
            <w:tcW w:w="3155"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 xml:space="preserve">开裂程度导致违反安全标准。              </w:t>
            </w:r>
          </w:p>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滑梯和其他受力运动区域附近的裂缝。</w:t>
            </w:r>
          </w:p>
        </w:tc>
        <w:tc>
          <w:tcPr>
            <w:tcW w:w="3153" w:type="dxa"/>
            <w:vMerge w:val="continue"/>
            <w:tcBorders>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p>
        </w:tc>
        <w:tc>
          <w:tcPr>
            <w:tcW w:w="491"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vAlign w:val="center"/>
          </w:tcPr>
          <w:p>
            <w:pPr>
              <w:pStyle w:val="19"/>
              <w:jc w:val="center"/>
              <w:rPr>
                <w:rFonts w:ascii="微软雅黑" w:hAnsi="微软雅黑" w:eastAsia="微软雅黑" w:cs="微软雅黑"/>
                <w:color w:val="auto"/>
                <w:sz w:val="16"/>
                <w:szCs w:val="16"/>
              </w:rPr>
            </w:pP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left w:val="single" w:color="AEAAAA" w:themeColor="background2" w:themeShade="BF" w:sz="4" w:space="0"/>
              <w:bottom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247" w:hRule="atLeast"/>
        </w:trPr>
        <w:tc>
          <w:tcPr>
            <w:tcW w:w="1345" w:type="dxa"/>
            <w:vMerge w:val="continue"/>
            <w:tcBorders>
              <w:left w:val="single" w:color="AEAAAA" w:themeColor="background2" w:themeShade="BF" w:sz="4" w:space="0"/>
              <w:right w:val="single" w:color="AEAAAA" w:themeColor="background2" w:themeShade="BF" w:sz="4" w:space="0"/>
            </w:tcBorders>
            <w:vAlign w:val="center"/>
          </w:tcPr>
          <w:p>
            <w:pPr>
              <w:pStyle w:val="19"/>
              <w:jc w:val="left"/>
              <w:rPr>
                <w:rFonts w:ascii="微软雅黑" w:hAnsi="微软雅黑" w:eastAsia="微软雅黑" w:cs="微软雅黑"/>
                <w:color w:val="auto"/>
                <w:sz w:val="16"/>
                <w:szCs w:val="16"/>
              </w:rPr>
            </w:pPr>
          </w:p>
        </w:tc>
        <w:tc>
          <w:tcPr>
            <w:tcW w:w="3155" w:type="dxa"/>
            <w:tcBorders>
              <w:top w:val="single" w:color="AEAAAA" w:themeColor="background2" w:themeShade="BF" w:sz="4" w:space="0"/>
              <w:left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不影响结构完整性或安全性的小裂缝。</w:t>
            </w:r>
          </w:p>
        </w:tc>
        <w:tc>
          <w:tcPr>
            <w:tcW w:w="3153" w:type="dxa"/>
            <w:tcBorders>
              <w:top w:val="single" w:color="AEAAAA" w:themeColor="background2" w:themeShade="BF" w:sz="4"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lang w:val="da-DK"/>
              </w:rPr>
              <w:t>用砂纸打磨边缘，防止粗糙表面和锐边。</w:t>
            </w:r>
          </w:p>
          <w:p>
            <w:pPr>
              <w:pStyle w:val="19"/>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lang w:val="da-DK"/>
              </w:rPr>
              <w:t>如果影响美观，可以使用我们的修理包来处理裂纹。向当地经销商征求意见。</w:t>
            </w:r>
          </w:p>
        </w:tc>
        <w:tc>
          <w:tcPr>
            <w:tcW w:w="491" w:type="dxa"/>
            <w:tcBorders>
              <w:top w:val="single" w:color="AEAAAA" w:themeColor="background2" w:themeShade="BF" w:sz="4" w:space="0"/>
            </w:tcBorders>
            <w:shd w:val="clear" w:color="auto" w:fill="FFFFFF"/>
            <w:vAlign w:val="center"/>
          </w:tcPr>
          <w:p>
            <w:pPr>
              <w:pStyle w:val="19"/>
              <w:jc w:val="center"/>
              <w:rPr>
                <w:rFonts w:ascii="微软雅黑" w:hAnsi="微软雅黑" w:eastAsia="微软雅黑" w:cs="微软雅黑"/>
                <w:color w:val="auto"/>
                <w:sz w:val="16"/>
                <w:szCs w:val="16"/>
                <w:lang w:val="da-DK"/>
              </w:rPr>
            </w:pP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tcBorders>
              <w:top w:val="single" w:color="AEAAAA" w:themeColor="background2" w:themeShade="BF" w:sz="4"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227" w:hRule="atLeast"/>
        </w:trPr>
        <w:tc>
          <w:tcPr>
            <w:tcW w:w="1345" w:type="dxa"/>
            <w:vMerge w:val="restart"/>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lang w:val="da-DK"/>
              </w:rPr>
              <w:t>腐烂</w:t>
            </w:r>
          </w:p>
        </w:tc>
        <w:tc>
          <w:tcPr>
            <w:tcW w:w="8278" w:type="dxa"/>
            <w:gridSpan w:val="6"/>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用锥子或小螺丝刀等尖头工具检查木材是否变质。</w:t>
            </w: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567" w:hRule="atLeast"/>
        </w:trPr>
        <w:tc>
          <w:tcPr>
            <w:tcW w:w="1345" w:type="dxa"/>
            <w:vMerge w:val="continue"/>
            <w:vAlign w:val="center"/>
          </w:tcPr>
          <w:p>
            <w:pPr>
              <w:pStyle w:val="19"/>
              <w:jc w:val="left"/>
              <w:rPr>
                <w:rFonts w:ascii="微软雅黑" w:hAnsi="微软雅黑" w:eastAsia="微软雅黑" w:cs="微软雅黑"/>
                <w:color w:val="auto"/>
                <w:sz w:val="16"/>
                <w:szCs w:val="16"/>
              </w:rPr>
            </w:pPr>
          </w:p>
        </w:tc>
        <w:tc>
          <w:tcPr>
            <w:tcW w:w="315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结构部分</w:t>
            </w:r>
          </w:p>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超过30%的横截面腐烂变质</w:t>
            </w:r>
          </w:p>
        </w:tc>
        <w:tc>
          <w:tcPr>
            <w:tcW w:w="3153"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更换部件。</w:t>
            </w:r>
          </w:p>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请与当地经销商联系以获取建议。</w:t>
            </w:r>
          </w:p>
        </w:tc>
        <w:tc>
          <w:tcPr>
            <w:tcW w:w="491" w:type="dxa"/>
            <w:shd w:val="clear" w:color="auto" w:fill="FFFFFF"/>
            <w:vAlign w:val="center"/>
          </w:tcPr>
          <w:p>
            <w:pPr>
              <w:pStyle w:val="19"/>
              <w:rPr>
                <w:rFonts w:ascii="微软雅黑" w:hAnsi="微软雅黑" w:eastAsia="微软雅黑" w:cs="微软雅黑"/>
                <w:color w:val="auto"/>
                <w:sz w:val="16"/>
                <w:szCs w:val="16"/>
              </w:rPr>
            </w:pP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567" w:hRule="atLeast"/>
        </w:trPr>
        <w:tc>
          <w:tcPr>
            <w:tcW w:w="1345" w:type="dxa"/>
            <w:vMerge w:val="continue"/>
            <w:vAlign w:val="center"/>
          </w:tcPr>
          <w:p>
            <w:pPr>
              <w:pStyle w:val="19"/>
              <w:jc w:val="left"/>
              <w:rPr>
                <w:rFonts w:ascii="微软雅黑" w:hAnsi="微软雅黑" w:eastAsia="微软雅黑" w:cs="微软雅黑"/>
                <w:color w:val="auto"/>
                <w:sz w:val="16"/>
                <w:szCs w:val="16"/>
                <w:lang w:val="da-DK"/>
              </w:rPr>
            </w:pPr>
          </w:p>
        </w:tc>
        <w:tc>
          <w:tcPr>
            <w:tcW w:w="315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 xml:space="preserve">非结构部分和端部              </w:t>
            </w:r>
          </w:p>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超过30%的横截面发生100 mm长度或超过100mm长度的腐烂变质</w:t>
            </w:r>
          </w:p>
        </w:tc>
        <w:tc>
          <w:tcPr>
            <w:tcW w:w="3153"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如有需要质保期内可更换部件。</w:t>
            </w:r>
          </w:p>
        </w:tc>
        <w:tc>
          <w:tcPr>
            <w:tcW w:w="491" w:type="dxa"/>
            <w:shd w:val="clear" w:color="auto" w:fill="FFFFFF"/>
            <w:vAlign w:val="center"/>
          </w:tcPr>
          <w:p>
            <w:pPr>
              <w:pStyle w:val="19"/>
              <w:jc w:val="center"/>
              <w:rPr>
                <w:rFonts w:ascii="微软雅黑" w:hAnsi="微软雅黑" w:eastAsia="微软雅黑" w:cs="微软雅黑"/>
                <w:color w:val="auto"/>
                <w:sz w:val="16"/>
                <w:szCs w:val="16"/>
              </w:rPr>
            </w:pP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1077" w:hRule="atLeast"/>
        </w:trPr>
        <w:tc>
          <w:tcPr>
            <w:tcW w:w="1345" w:type="dxa"/>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rPr>
              <w:t>结头</w:t>
            </w:r>
          </w:p>
        </w:tc>
        <w:tc>
          <w:tcPr>
            <w:tcW w:w="315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结头脱落</w:t>
            </w:r>
          </w:p>
        </w:tc>
        <w:tc>
          <w:tcPr>
            <w:tcW w:w="3153"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使用修理包修理结头。</w:t>
            </w:r>
          </w:p>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未处理的结头可能会造成木头腐烂变质。由结头引起的变质不享受质保。</w:t>
            </w:r>
          </w:p>
        </w:tc>
        <w:tc>
          <w:tcPr>
            <w:tcW w:w="491" w:type="dxa"/>
            <w:shd w:val="clear" w:color="auto" w:fill="FFFFFF"/>
            <w:vAlign w:val="center"/>
          </w:tcPr>
          <w:p>
            <w:pPr>
              <w:pStyle w:val="19"/>
              <w:jc w:val="center"/>
              <w:rPr>
                <w:rFonts w:ascii="微软雅黑" w:hAnsi="微软雅黑" w:eastAsia="微软雅黑" w:cs="微软雅黑"/>
                <w:color w:val="auto"/>
                <w:sz w:val="16"/>
                <w:szCs w:val="16"/>
              </w:rPr>
            </w:pP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bCs/>
                <w:color w:val="auto"/>
                <w:kern w:val="24"/>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bCs/>
                <w:color w:val="auto"/>
                <w:kern w:val="24"/>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45" w:type="dxa"/>
            <w:shd w:val="clear" w:color="auto" w:fill="FFFFFF"/>
            <w:tcMar>
              <w:top w:w="68" w:type="dxa"/>
              <w:left w:w="68" w:type="dxa"/>
              <w:bottom w:w="68" w:type="dxa"/>
              <w:right w:w="68" w:type="dxa"/>
            </w:tcMar>
          </w:tcPr>
          <w:p>
            <w:pPr>
              <w:pStyle w:val="19"/>
              <w:jc w:val="left"/>
              <w:rPr>
                <w:rFonts w:ascii="微软雅黑" w:hAnsi="微软雅黑" w:eastAsia="微软雅黑" w:cs="微软雅黑"/>
                <w:color w:val="auto"/>
                <w:sz w:val="16"/>
                <w:szCs w:val="16"/>
                <w:lang w:val="da-DK"/>
              </w:rPr>
            </w:pPr>
            <w:r>
              <w:rPr>
                <w:rFonts w:hint="eastAsia" w:ascii="微软雅黑" w:hAnsi="微软雅黑" w:eastAsia="微软雅黑" w:cs="微软雅黑"/>
                <w:color w:val="auto"/>
                <w:sz w:val="16"/>
                <w:szCs w:val="16"/>
                <w:lang w:val="da-DK"/>
              </w:rPr>
              <w:t>清理</w:t>
            </w:r>
          </w:p>
        </w:tc>
        <w:tc>
          <w:tcPr>
            <w:tcW w:w="3155"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产品表面</w:t>
            </w:r>
          </w:p>
        </w:tc>
        <w:tc>
          <w:tcPr>
            <w:tcW w:w="3153" w:type="dxa"/>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使用毛刷清除污垢、藻类或霉菌。</w:t>
            </w:r>
          </w:p>
        </w:tc>
        <w:tc>
          <w:tcPr>
            <w:tcW w:w="491" w:type="dxa"/>
            <w:shd w:val="clear" w:color="auto" w:fill="FFFFFF"/>
            <w:vAlign w:val="center"/>
          </w:tcPr>
          <w:p>
            <w:pPr>
              <w:pStyle w:val="19"/>
              <w:jc w:val="center"/>
              <w:rPr>
                <w:rFonts w:ascii="微软雅黑" w:hAnsi="微软雅黑" w:eastAsia="微软雅黑" w:cs="微软雅黑"/>
                <w:color w:val="auto"/>
                <w:sz w:val="16"/>
                <w:szCs w:val="16"/>
              </w:rPr>
            </w:pP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lang w:val="da-DK"/>
              </w:rPr>
            </w:pPr>
          </w:p>
        </w:tc>
      </w:tr>
      <w:tr>
        <w:tblPrEx>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6" w:space="0"/>
            <w:insideV w:val="single" w:color="AEAAAA" w:themeColor="background2" w:themeShade="BF" w:sz="6" w:space="0"/>
          </w:tblBorders>
          <w:tblCellMar>
            <w:top w:w="0" w:type="dxa"/>
            <w:left w:w="0" w:type="dxa"/>
            <w:bottom w:w="0" w:type="dxa"/>
            <w:right w:w="0" w:type="dxa"/>
          </w:tblCellMar>
        </w:tblPrEx>
        <w:trPr>
          <w:gridAfter w:val="1"/>
          <w:wAfter w:w="15" w:type="dxa"/>
          <w:trHeight w:val="340" w:hRule="atLeast"/>
        </w:trPr>
        <w:tc>
          <w:tcPr>
            <w:tcW w:w="1345" w:type="dxa"/>
            <w:shd w:val="clear" w:color="auto" w:fill="FFFFFF"/>
            <w:tcMar>
              <w:top w:w="68" w:type="dxa"/>
              <w:left w:w="68" w:type="dxa"/>
              <w:bottom w:w="68" w:type="dxa"/>
              <w:right w:w="68" w:type="dxa"/>
            </w:tcMar>
          </w:tcPr>
          <w:p>
            <w:pPr>
              <w:pStyle w:val="19"/>
              <w:spacing w:line="480" w:lineRule="auto"/>
              <w:jc w:val="left"/>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喷涂</w:t>
            </w:r>
          </w:p>
        </w:tc>
        <w:tc>
          <w:tcPr>
            <w:tcW w:w="3155" w:type="dxa"/>
            <w:tcBorders>
              <w:bottom w:val="single" w:color="AEAAAA" w:themeColor="background2" w:themeShade="BF" w:sz="6" w:space="0"/>
            </w:tcBorders>
            <w:shd w:val="clear" w:color="auto" w:fill="FFFFFF"/>
            <w:tcMar>
              <w:top w:w="68" w:type="dxa"/>
              <w:left w:w="68" w:type="dxa"/>
              <w:bottom w:w="68" w:type="dxa"/>
              <w:right w:w="68" w:type="dxa"/>
            </w:tcMar>
          </w:tcPr>
          <w:p>
            <w:pPr>
              <w:pStyle w:val="19"/>
              <w:spacing w:line="480" w:lineRule="auto"/>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原木的喷涂提供美观和保护作用。</w:t>
            </w:r>
          </w:p>
        </w:tc>
        <w:tc>
          <w:tcPr>
            <w:tcW w:w="3153" w:type="dxa"/>
            <w:tcBorders>
              <w:bottom w:val="single" w:color="AEAAAA" w:themeColor="background2" w:themeShade="BF" w:sz="6" w:space="0"/>
            </w:tcBorders>
            <w:shd w:val="clear" w:color="auto" w:fill="FFFFFF"/>
            <w:tcMar>
              <w:top w:w="68" w:type="dxa"/>
              <w:left w:w="68" w:type="dxa"/>
              <w:bottom w:w="68" w:type="dxa"/>
              <w:right w:w="68" w:type="dxa"/>
            </w:tcMar>
          </w:tcPr>
          <w:p>
            <w:pPr>
              <w:pStyle w:val="19"/>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我们建议按周期进行补漆以保持产品美观和使用寿命。</w:t>
            </w:r>
          </w:p>
        </w:tc>
        <w:tc>
          <w:tcPr>
            <w:tcW w:w="491" w:type="dxa"/>
            <w:tcBorders>
              <w:bottom w:val="single" w:color="AEAAAA" w:themeColor="background2" w:themeShade="BF" w:sz="6" w:space="0"/>
            </w:tcBorders>
            <w:shd w:val="clear" w:color="auto" w:fill="FFFFFF"/>
            <w:vAlign w:val="center"/>
          </w:tcPr>
          <w:p>
            <w:pPr>
              <w:pStyle w:val="19"/>
              <w:jc w:val="center"/>
              <w:rPr>
                <w:rFonts w:ascii="微软雅黑" w:hAnsi="微软雅黑" w:eastAsia="微软雅黑" w:cs="微软雅黑"/>
                <w:color w:val="auto"/>
                <w:sz w:val="16"/>
                <w:szCs w:val="16"/>
              </w:rPr>
            </w:pP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t>X</w:t>
            </w:r>
          </w:p>
        </w:tc>
        <w:tc>
          <w:tcPr>
            <w:tcW w:w="493" w:type="dxa"/>
            <w:tcBorders>
              <w:bottom w:val="single" w:color="AEAAAA" w:themeColor="background2" w:themeShade="BF" w:sz="6" w:space="0"/>
            </w:tcBorders>
            <w:shd w:val="clear" w:color="auto" w:fill="FFFFFF"/>
            <w:tcMar>
              <w:top w:w="68" w:type="dxa"/>
              <w:left w:w="68" w:type="dxa"/>
              <w:bottom w:w="68" w:type="dxa"/>
              <w:right w:w="68" w:type="dxa"/>
            </w:tcMar>
            <w:vAlign w:val="center"/>
          </w:tcPr>
          <w:p>
            <w:pPr>
              <w:pStyle w:val="19"/>
              <w:jc w:val="center"/>
              <w:rPr>
                <w:rFonts w:ascii="微软雅黑" w:hAnsi="微软雅黑" w:eastAsia="微软雅黑" w:cs="微软雅黑"/>
                <w:color w:val="auto"/>
                <w:sz w:val="16"/>
                <w:szCs w:val="16"/>
              </w:rPr>
            </w:pPr>
          </w:p>
        </w:tc>
      </w:tr>
    </w:tbl>
    <w:tbl>
      <w:tblPr>
        <w:tblStyle w:val="6"/>
        <w:tblpPr w:leftFromText="180" w:rightFromText="180" w:vertAnchor="text" w:horzAnchor="page" w:tblpX="1837" w:tblpY="184"/>
        <w:tblOverlap w:val="never"/>
        <w:tblW w:w="7602" w:type="dxa"/>
        <w:tblInd w:w="0" w:type="dxa"/>
        <w:tblLayout w:type="autofit"/>
        <w:tblCellMar>
          <w:top w:w="0" w:type="dxa"/>
          <w:left w:w="0" w:type="dxa"/>
          <w:bottom w:w="0" w:type="dxa"/>
          <w:right w:w="0" w:type="dxa"/>
        </w:tblCellMar>
      </w:tblPr>
      <w:tblGrid>
        <w:gridCol w:w="227"/>
        <w:gridCol w:w="7375"/>
      </w:tblGrid>
      <w:tr>
        <w:tblPrEx>
          <w:tblCellMar>
            <w:top w:w="0" w:type="dxa"/>
            <w:left w:w="0" w:type="dxa"/>
            <w:bottom w:w="0" w:type="dxa"/>
            <w:right w:w="0" w:type="dxa"/>
          </w:tblCellMar>
        </w:tblPrEx>
        <w:trPr>
          <w:trHeight w:val="57" w:hRule="atLeast"/>
        </w:trPr>
        <w:tc>
          <w:tcPr>
            <w:tcW w:w="227" w:type="dxa"/>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drawing>
                <wp:inline distT="0" distB="0" distL="0" distR="0">
                  <wp:extent cx="107950" cy="107950"/>
                  <wp:effectExtent l="0" t="0" r="6350" b="635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lang w:val="da-DK" w:eastAsia="zh-CN"/>
              </w:rPr>
            </w:pPr>
            <w:r>
              <w:rPr>
                <w:rFonts w:hint="eastAsia" w:ascii="微软雅黑" w:hAnsi="微软雅黑" w:eastAsia="微软雅黑" w:cs="微软雅黑"/>
                <w:color w:val="auto"/>
                <w:sz w:val="16"/>
                <w:szCs w:val="16"/>
                <w:lang w:eastAsia="zh-CN"/>
              </w:rPr>
              <w:t>每天/每周进行目测常规检查</w:t>
            </w:r>
          </w:p>
        </w:tc>
      </w:tr>
      <w:tr>
        <w:tblPrEx>
          <w:tblCellMar>
            <w:top w:w="0" w:type="dxa"/>
            <w:left w:w="0" w:type="dxa"/>
            <w:bottom w:w="0" w:type="dxa"/>
            <w:right w:w="0" w:type="dxa"/>
          </w:tblCellMar>
        </w:tblPrEx>
        <w:trPr>
          <w:trHeight w:val="57" w:hRule="atLeast"/>
        </w:trPr>
        <w:tc>
          <w:tcPr>
            <w:tcW w:w="227" w:type="dxa"/>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drawing>
                <wp:inline distT="0" distB="0" distL="0" distR="0">
                  <wp:extent cx="107950" cy="107950"/>
                  <wp:effectExtent l="0" t="0" r="6350"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lang w:eastAsia="zh-CN"/>
              </w:rPr>
              <w:t>每1-3个月进行操作检查</w:t>
            </w:r>
          </w:p>
        </w:tc>
      </w:tr>
      <w:tr>
        <w:tblPrEx>
          <w:tblCellMar>
            <w:top w:w="0" w:type="dxa"/>
            <w:left w:w="0" w:type="dxa"/>
            <w:bottom w:w="0" w:type="dxa"/>
            <w:right w:w="0" w:type="dxa"/>
          </w:tblCellMar>
        </w:tblPrEx>
        <w:trPr>
          <w:trHeight w:val="57" w:hRule="atLeast"/>
        </w:trPr>
        <w:tc>
          <w:tcPr>
            <w:tcW w:w="227" w:type="dxa"/>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drawing>
                <wp:inline distT="0" distB="0" distL="0" distR="0">
                  <wp:extent cx="107950" cy="107950"/>
                  <wp:effectExtent l="0" t="0" r="6350" b="635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每年或每半年进行主要检查</w:t>
            </w:r>
          </w:p>
        </w:tc>
      </w:tr>
      <w:tr>
        <w:tblPrEx>
          <w:tblCellMar>
            <w:top w:w="0" w:type="dxa"/>
            <w:left w:w="0" w:type="dxa"/>
            <w:bottom w:w="0" w:type="dxa"/>
            <w:right w:w="0" w:type="dxa"/>
          </w:tblCellMar>
        </w:tblPrEx>
        <w:trPr>
          <w:trHeight w:val="57" w:hRule="atLeast"/>
        </w:trPr>
        <w:tc>
          <w:tcPr>
            <w:tcW w:w="227" w:type="dxa"/>
            <w:vAlign w:val="center"/>
          </w:tcPr>
          <w:p>
            <w:pPr>
              <w:pStyle w:val="19"/>
              <w:jc w:val="center"/>
              <w:rPr>
                <w:rFonts w:ascii="微软雅黑" w:hAnsi="微软雅黑" w:eastAsia="微软雅黑" w:cs="微软雅黑"/>
                <w:color w:val="auto"/>
                <w:sz w:val="16"/>
                <w:szCs w:val="16"/>
              </w:rPr>
            </w:pPr>
            <w:r>
              <w:rPr>
                <w:rFonts w:hint="eastAsia" w:ascii="微软雅黑" w:hAnsi="微软雅黑" w:eastAsia="微软雅黑" w:cs="微软雅黑"/>
                <w:color w:val="auto"/>
                <w:sz w:val="16"/>
                <w:szCs w:val="16"/>
              </w:rPr>
              <w:drawing>
                <wp:inline distT="0" distB="0" distL="0" distR="0">
                  <wp:extent cx="107950" cy="107950"/>
                  <wp:effectExtent l="0" t="0" r="6350" b="635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7375" w:type="dxa"/>
            <w:vAlign w:val="center"/>
          </w:tcPr>
          <w:p>
            <w:pPr>
              <w:pStyle w:val="25"/>
              <w:rPr>
                <w:rFonts w:ascii="微软雅黑" w:hAnsi="微软雅黑" w:eastAsia="微软雅黑" w:cs="微软雅黑"/>
                <w:color w:val="auto"/>
                <w:sz w:val="16"/>
                <w:szCs w:val="16"/>
                <w:lang w:eastAsia="zh-CN"/>
              </w:rPr>
            </w:pPr>
            <w:r>
              <w:rPr>
                <w:rFonts w:hint="eastAsia" w:ascii="微软雅黑" w:hAnsi="微软雅黑" w:eastAsia="微软雅黑" w:cs="微软雅黑"/>
                <w:color w:val="auto"/>
                <w:sz w:val="16"/>
                <w:szCs w:val="16"/>
                <w:lang w:eastAsia="zh-CN"/>
              </w:rPr>
              <w:t>每两年进行额外的主要检查</w:t>
            </w:r>
          </w:p>
        </w:tc>
      </w:tr>
    </w:tbl>
    <w:p>
      <w:pPr>
        <w:spacing w:after="160"/>
        <w:rPr>
          <w:rFonts w:ascii="微软雅黑" w:hAnsi="微软雅黑" w:eastAsia="微软雅黑" w:cs="微软雅黑"/>
          <w:sz w:val="20"/>
          <w:szCs w:val="20"/>
        </w:rPr>
      </w:pPr>
    </w:p>
    <w:p>
      <w:pPr>
        <w:pStyle w:val="2"/>
        <w:rPr>
          <w:lang w:eastAsia="zh-CN"/>
        </w:rPr>
      </w:pPr>
      <w:r>
        <w:rPr>
          <w:rFonts w:hint="eastAsia" w:ascii="微软雅黑" w:hAnsi="微软雅黑" w:eastAsia="微软雅黑" w:cs="微软雅黑"/>
          <w:sz w:val="21"/>
          <w:szCs w:val="21"/>
          <w:lang w:eastAsia="zh-CN"/>
        </w:rPr>
        <w:br w:type="page"/>
      </w:r>
    </w:p>
    <w:p>
      <w:pPr>
        <w:pStyle w:val="2"/>
        <w:rPr>
          <w:rFonts w:ascii="微软雅黑" w:hAnsi="微软雅黑" w:eastAsia="微软雅黑" w:cs="微软雅黑"/>
          <w:bCs/>
          <w:color w:val="auto"/>
          <w:sz w:val="24"/>
          <w:szCs w:val="24"/>
          <w:lang w:eastAsia="zh-CN"/>
        </w:rPr>
      </w:pPr>
      <w:r>
        <w:rPr>
          <w:rFonts w:hint="eastAsia" w:ascii="微软雅黑" w:hAnsi="微软雅黑" w:eastAsia="微软雅黑" w:cs="微软雅黑"/>
          <w:bCs/>
          <w:color w:val="auto"/>
          <w:sz w:val="24"/>
          <w:szCs w:val="24"/>
          <w:lang w:eastAsia="zh-CN"/>
        </w:rPr>
        <w:t>六、产品保修</w:t>
      </w:r>
    </w:p>
    <w:p>
      <w:pPr>
        <w:pStyle w:val="13"/>
        <w:spacing w:after="0"/>
        <w:rPr>
          <w:rFonts w:ascii="微软雅黑" w:hAnsi="微软雅黑" w:eastAsia="微软雅黑" w:cs="微软雅黑"/>
          <w:b/>
          <w:bCs/>
          <w:color w:val="3B3838" w:themeColor="background2" w:themeShade="40"/>
          <w:lang w:eastAsia="zh-CN"/>
        </w:rPr>
      </w:pPr>
      <w:r>
        <w:rPr>
          <w:rFonts w:hint="eastAsia" w:ascii="微软雅黑" w:hAnsi="微软雅黑" w:eastAsia="微软雅黑" w:cs="微软雅黑"/>
          <w:b/>
          <w:bCs/>
          <w:color w:val="3B3838" w:themeColor="background2" w:themeShade="40"/>
          <w:lang w:eastAsia="zh-CN"/>
        </w:rPr>
        <w:t>1.保修范围：</w:t>
      </w:r>
    </w:p>
    <w:p>
      <w:pPr>
        <w:pStyle w:val="13"/>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在保修期内使用本产品过程中如发生以下问题，本公司予以免费维修；</w:t>
      </w:r>
    </w:p>
    <w:p>
      <w:pPr>
        <w:pStyle w:val="13"/>
        <w:numPr>
          <w:ilvl w:val="0"/>
          <w:numId w:val="4"/>
        </w:numPr>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由于产品本身存在的质量问题，如开箱发现外观破损等。</w:t>
      </w:r>
    </w:p>
    <w:p>
      <w:pPr>
        <w:pStyle w:val="13"/>
        <w:numPr>
          <w:ilvl w:val="0"/>
          <w:numId w:val="4"/>
        </w:numPr>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由于在正常使用过程中产品本身的质量问题。</w:t>
      </w:r>
    </w:p>
    <w:p>
      <w:pPr>
        <w:pStyle w:val="13"/>
        <w:numPr>
          <w:ilvl w:val="0"/>
          <w:numId w:val="4"/>
        </w:numPr>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耗材配件不在保修范围内。</w:t>
      </w: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b/>
          <w:bCs/>
          <w:color w:val="3B3838" w:themeColor="background2" w:themeShade="40"/>
          <w:lang w:eastAsia="zh-CN"/>
        </w:rPr>
      </w:pPr>
      <w:r>
        <w:rPr>
          <w:rFonts w:hint="eastAsia" w:ascii="微软雅黑" w:hAnsi="微软雅黑" w:eastAsia="微软雅黑" w:cs="微软雅黑"/>
          <w:b/>
          <w:bCs/>
          <w:color w:val="3B3838" w:themeColor="background2" w:themeShade="40"/>
          <w:lang w:eastAsia="zh-CN"/>
        </w:rPr>
        <w:t>2.保修期限：</w:t>
      </w:r>
    </w:p>
    <w:p>
      <w:pPr>
        <w:pStyle w:val="13"/>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本产品保修期限为一年，自购买之日起计算（若购货发票遗失，保修期自出厂之日起计算）。</w:t>
      </w: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b/>
          <w:bCs/>
          <w:color w:val="3B3838" w:themeColor="background2" w:themeShade="40"/>
          <w:lang w:eastAsia="zh-CN"/>
        </w:rPr>
      </w:pPr>
      <w:r>
        <w:rPr>
          <w:rFonts w:hint="eastAsia" w:ascii="微软雅黑" w:hAnsi="微软雅黑" w:eastAsia="微软雅黑" w:cs="微软雅黑"/>
          <w:b/>
          <w:bCs/>
          <w:color w:val="3B3838" w:themeColor="background2" w:themeShade="40"/>
          <w:lang w:eastAsia="zh-CN"/>
        </w:rPr>
        <w:t>3.超过保修范围服务</w:t>
      </w:r>
    </w:p>
    <w:p>
      <w:pPr>
        <w:pStyle w:val="13"/>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超过保修内由于以下原因导致产品发生故障，本公司予以维修，但需收取材料费：</w:t>
      </w:r>
    </w:p>
    <w:p>
      <w:pPr>
        <w:pStyle w:val="13"/>
        <w:numPr>
          <w:ilvl w:val="0"/>
          <w:numId w:val="5"/>
        </w:numPr>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不按使用说明而发生的一切人为损坏；</w:t>
      </w:r>
    </w:p>
    <w:p>
      <w:pPr>
        <w:pStyle w:val="13"/>
        <w:numPr>
          <w:ilvl w:val="0"/>
          <w:numId w:val="5"/>
        </w:numPr>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用户擅自维修或改装本产品。</w:t>
      </w: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b/>
          <w:bCs/>
          <w:color w:val="3B3838" w:themeColor="background2" w:themeShade="40"/>
          <w:lang w:eastAsia="zh-CN"/>
        </w:rPr>
      </w:pPr>
      <w:r>
        <w:rPr>
          <w:rFonts w:hint="eastAsia" w:ascii="微软雅黑" w:hAnsi="微软雅黑" w:eastAsia="微软雅黑" w:cs="微软雅黑"/>
          <w:b/>
          <w:bCs/>
          <w:color w:val="3B3838" w:themeColor="background2" w:themeShade="40"/>
          <w:lang w:eastAsia="zh-CN"/>
        </w:rPr>
        <w:t>4.超出保修期服务：</w:t>
      </w:r>
    </w:p>
    <w:p>
      <w:pPr>
        <w:pStyle w:val="13"/>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超过保修期使用本产品发生故障，本公司予以维修，但需收取维修费和材料费。</w:t>
      </w: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b/>
          <w:bCs/>
          <w:color w:val="3B3838" w:themeColor="background2" w:themeShade="40"/>
          <w:lang w:eastAsia="zh-CN"/>
        </w:rPr>
      </w:pPr>
      <w:r>
        <w:rPr>
          <w:rFonts w:hint="eastAsia" w:ascii="微软雅黑" w:hAnsi="微软雅黑" w:eastAsia="微软雅黑" w:cs="微软雅黑"/>
          <w:b/>
          <w:bCs/>
          <w:color w:val="3B3838" w:themeColor="background2" w:themeShade="40"/>
          <w:lang w:eastAsia="zh-CN"/>
        </w:rPr>
        <w:t>用户资料</w:t>
      </w:r>
    </w:p>
    <w:p>
      <w:pPr>
        <w:pStyle w:val="13"/>
        <w:spacing w:after="0"/>
        <w:rPr>
          <w:rFonts w:ascii="微软雅黑" w:hAnsi="微软雅黑" w:eastAsia="微软雅黑" w:cs="微软雅黑"/>
          <w:b/>
          <w:bCs/>
          <w:color w:val="3B3838" w:themeColor="background2" w:themeShade="40"/>
          <w:lang w:eastAsia="zh-CN"/>
        </w:rPr>
      </w:pPr>
    </w:p>
    <w:tbl>
      <w:tblPr>
        <w:tblStyle w:val="7"/>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3148"/>
        <w:gridCol w:w="1097"/>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50"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用户姓名</w:t>
            </w:r>
          </w:p>
        </w:tc>
        <w:tc>
          <w:tcPr>
            <w:tcW w:w="3148"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p>
        </w:tc>
        <w:tc>
          <w:tcPr>
            <w:tcW w:w="1097"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购买日期</w:t>
            </w:r>
          </w:p>
        </w:tc>
        <w:tc>
          <w:tcPr>
            <w:tcW w:w="3203"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50"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联系电话</w:t>
            </w:r>
          </w:p>
        </w:tc>
        <w:tc>
          <w:tcPr>
            <w:tcW w:w="3148"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p>
        </w:tc>
        <w:tc>
          <w:tcPr>
            <w:tcW w:w="1097"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联系地址</w:t>
            </w:r>
          </w:p>
        </w:tc>
        <w:tc>
          <w:tcPr>
            <w:tcW w:w="3203"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50" w:type="dxa"/>
          </w:tcPr>
          <w:p>
            <w:pPr>
              <w:pStyle w:val="13"/>
              <w:widowControl w:val="0"/>
              <w:spacing w:after="0" w:line="360" w:lineRule="auto"/>
              <w:jc w:val="both"/>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维修记录</w:t>
            </w:r>
          </w:p>
        </w:tc>
        <w:tc>
          <w:tcPr>
            <w:tcW w:w="7448" w:type="dxa"/>
            <w:gridSpan w:val="3"/>
          </w:tcPr>
          <w:p>
            <w:pPr>
              <w:pStyle w:val="13"/>
              <w:widowControl w:val="0"/>
              <w:spacing w:after="0" w:line="360" w:lineRule="auto"/>
              <w:jc w:val="both"/>
              <w:rPr>
                <w:rFonts w:ascii="微软雅黑" w:hAnsi="微软雅黑" w:eastAsia="微软雅黑" w:cs="微软雅黑"/>
                <w:color w:val="3B3838" w:themeColor="background2" w:themeShade="40"/>
                <w:lang w:eastAsia="zh-CN"/>
              </w:rPr>
            </w:pPr>
          </w:p>
        </w:tc>
      </w:tr>
    </w:tbl>
    <w:p>
      <w:pPr>
        <w:pStyle w:val="13"/>
        <w:spacing w:after="0"/>
        <w:rPr>
          <w:rFonts w:ascii="微软雅黑" w:hAnsi="微软雅黑" w:eastAsia="微软雅黑" w:cs="微软雅黑"/>
          <w:b/>
          <w:bCs/>
          <w:color w:val="3B3838" w:themeColor="background2" w:themeShade="40"/>
          <w:lang w:eastAsia="zh-CN"/>
        </w:rPr>
      </w:pPr>
    </w:p>
    <w:p>
      <w:pPr>
        <w:pStyle w:val="13"/>
        <w:spacing w:after="0"/>
        <w:rPr>
          <w:rFonts w:ascii="微软雅黑" w:hAnsi="微软雅黑" w:eastAsia="微软雅黑" w:cs="微软雅黑"/>
          <w:b/>
          <w:bCs/>
          <w:color w:val="3B3838" w:themeColor="background2" w:themeShade="40"/>
          <w:lang w:eastAsia="zh-CN"/>
        </w:rPr>
      </w:pPr>
    </w:p>
    <w:p>
      <w:pPr>
        <w:pStyle w:val="13"/>
        <w:spacing w:after="0"/>
        <w:rPr>
          <w:rFonts w:ascii="微软雅黑" w:hAnsi="微软雅黑" w:eastAsia="微软雅黑" w:cs="微软雅黑"/>
          <w:b/>
          <w:bCs/>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p>
    <w:p>
      <w:pPr>
        <w:pStyle w:val="13"/>
        <w:spacing w:after="0"/>
        <w:rPr>
          <w:rFonts w:ascii="微软雅黑" w:hAnsi="微软雅黑" w:eastAsia="微软雅黑" w:cs="微软雅黑"/>
          <w:color w:val="3B3838" w:themeColor="background2" w:themeShade="40"/>
          <w:lang w:eastAsia="zh-CN"/>
        </w:rPr>
      </w:pPr>
      <w:r>
        <w:rPr>
          <w:rFonts w:hint="eastAsia" w:ascii="微软雅黑" w:hAnsi="微软雅黑" w:eastAsia="微软雅黑" w:cs="微软雅黑"/>
          <w:color w:val="3B3838" w:themeColor="background2" w:themeShade="40"/>
          <w:lang w:eastAsia="zh-CN"/>
        </w:rPr>
        <w:t>亲爱的顾客，感谢您选购本公司产品，为了使我们的产品能更好地为您服务，请在使用前务必详细阅读本说明书，并妥善保管，以便您日后维护与保养，谢谢！</w:t>
      </w:r>
    </w:p>
    <w:p>
      <w:pPr>
        <w:pStyle w:val="13"/>
        <w:spacing w:after="0"/>
        <w:rPr>
          <w:rFonts w:ascii="微软雅黑" w:hAnsi="微软雅黑" w:eastAsia="微软雅黑" w:cs="微软雅黑"/>
          <w:color w:val="3B3838" w:themeColor="background2" w:themeShade="40"/>
          <w:sz w:val="21"/>
          <w:szCs w:val="21"/>
          <w:lang w:eastAsia="zh-CN"/>
        </w:rPr>
      </w:pPr>
    </w:p>
    <w:p>
      <w:pPr>
        <w:pStyle w:val="12"/>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警告！</w:t>
      </w:r>
    </w:p>
    <w:p>
      <w:pPr>
        <w:pStyle w:val="2"/>
        <w:rPr>
          <w:rFonts w:ascii="微软雅黑" w:hAnsi="微软雅黑" w:eastAsia="微软雅黑" w:cs="微软雅黑"/>
          <w:lang w:eastAsia="zh-CN"/>
        </w:rPr>
      </w:pPr>
      <w:r>
        <w:rPr>
          <w:rFonts w:hint="eastAsia" w:ascii="微软雅黑" w:hAnsi="微软雅黑" w:eastAsia="微软雅黑" w:cs="微软雅黑"/>
          <w:lang w:eastAsia="zh-CN"/>
        </w:rPr>
        <w:t>违反产品说明书进行的操作可能使设备或周围物产生不安全性，导致游戏时身体受伤。对于这种伤害或损坏，蓝魔方将不承担相应责任。</w:t>
      </w:r>
    </w:p>
    <w:p>
      <w:pPr>
        <w:pStyle w:val="2"/>
        <w:rPr>
          <w:rFonts w:ascii="微软雅黑" w:hAnsi="微软雅黑" w:eastAsia="微软雅黑" w:cs="微软雅黑"/>
          <w:lang w:val="da-DK" w:eastAsia="zh-CN"/>
        </w:rPr>
      </w:pPr>
      <w:r>
        <w:rPr>
          <w:rFonts w:hint="eastAsia" w:ascii="微软雅黑" w:hAnsi="微软雅黑" w:eastAsia="微软雅黑" w:cs="微软雅黑"/>
          <w:lang w:eastAsia="zh-CN"/>
        </w:rPr>
        <w:t>按照产品说明书进行操作对于享受蓝魔方产品质保非常必要。</w:t>
      </w:r>
    </w:p>
    <w:p>
      <w:pPr>
        <w:pStyle w:val="13"/>
        <w:rPr>
          <w:rFonts w:ascii="微软雅黑" w:hAnsi="微软雅黑" w:eastAsia="微软雅黑" w:cs="微软雅黑"/>
          <w:lang w:eastAsia="zh-CN"/>
        </w:rPr>
      </w:pPr>
      <w:r>
        <w:rPr>
          <w:rFonts w:hint="eastAsia" w:ascii="微软雅黑" w:hAnsi="微软雅黑" w:eastAsia="微软雅黑" w:cs="微软雅黑"/>
          <w:lang w:eastAsia="zh-CN"/>
        </w:rPr>
        <w:t>游戏装备的检查和维护应该按每日、每周、每月、每季度、每年度计划进行。如果您的装备使用频率很高或使用环境很恶劣，您应该进行更为频繁的检查维护（相对于本说明书推荐的频率）。</w:t>
      </w:r>
    </w:p>
    <w:p>
      <w:pPr>
        <w:pStyle w:val="13"/>
        <w:rPr>
          <w:rFonts w:ascii="微软雅黑" w:hAnsi="微软雅黑" w:eastAsia="微软雅黑" w:cs="微软雅黑"/>
          <w:lang w:eastAsia="zh-CN"/>
        </w:rPr>
      </w:pPr>
      <w:r>
        <w:rPr>
          <w:rFonts w:hint="eastAsia" w:ascii="微软雅黑" w:hAnsi="微软雅黑" w:eastAsia="微软雅黑" w:cs="微软雅黑"/>
          <w:lang w:eastAsia="zh-CN"/>
        </w:rPr>
        <w:t>偶尔会有产品零件损坏或磨损需要更换的情况发生，需及时更换零件来避免危险情况的发生。维修需要严格按照本说明书进行。您可以从蓝魔方销售团队或蓝魔方网站上获取替换部件的信息和安装说明。</w:t>
      </w:r>
    </w:p>
    <w:p>
      <w:pPr>
        <w:pStyle w:val="13"/>
        <w:rPr>
          <w:rFonts w:ascii="微软雅黑" w:hAnsi="微软雅黑" w:eastAsia="微软雅黑" w:cs="微软雅黑"/>
          <w:lang w:eastAsia="zh-CN"/>
        </w:rPr>
      </w:pPr>
      <w:r>
        <w:rPr>
          <w:rFonts w:hint="eastAsia" w:ascii="微软雅黑" w:hAnsi="微软雅黑" w:eastAsia="微软雅黑" w:cs="微软雅黑"/>
          <w:lang w:eastAsia="zh-CN"/>
        </w:rPr>
        <w:t>如果维修不能及时进行，则需要采取措施限制部分产品或整个产品的使用。</w:t>
      </w:r>
    </w:p>
    <w:p>
      <w:pPr>
        <w:pStyle w:val="13"/>
        <w:rPr>
          <w:rFonts w:ascii="微软雅黑" w:hAnsi="微软雅黑" w:eastAsia="微软雅黑" w:cs="微软雅黑"/>
          <w:lang w:eastAsia="zh-CN"/>
        </w:rPr>
      </w:pPr>
    </w:p>
    <w:p>
      <w:pPr>
        <w:pStyle w:val="13"/>
        <w:rPr>
          <w:rFonts w:ascii="微软雅黑" w:hAnsi="微软雅黑" w:eastAsia="微软雅黑" w:cs="微软雅黑"/>
          <w:b/>
          <w:bCs/>
          <w:lang w:eastAsia="zh-CN"/>
        </w:rPr>
      </w:pPr>
      <w:r>
        <w:rPr>
          <w:rFonts w:hint="eastAsia" w:ascii="微软雅黑" w:hAnsi="微软雅黑" w:eastAsia="微软雅黑" w:cs="微软雅黑"/>
          <w:b/>
          <w:bCs/>
          <w:lang w:eastAsia="zh-CN"/>
        </w:rPr>
        <w:t>处理与回收：</w:t>
      </w:r>
    </w:p>
    <w:p>
      <w:pPr>
        <w:pStyle w:val="15"/>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金属零部件可直接回收</w:t>
      </w:r>
    </w:p>
    <w:p>
      <w:pPr>
        <w:pStyle w:val="15"/>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塑料零部件有材质标识，可根据标识进行回收</w:t>
      </w:r>
    </w:p>
    <w:p>
      <w:pPr>
        <w:pStyle w:val="15"/>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木材必须根据地方规定处理</w:t>
      </w: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sectPr>
          <w:footerReference r:id="rId3" w:type="default"/>
          <w:pgSz w:w="11906" w:h="16838"/>
          <w:pgMar w:top="1440" w:right="1800" w:bottom="1440" w:left="1800" w:header="851" w:footer="992" w:gutter="0"/>
          <w:pgNumType w:start="1"/>
          <w:cols w:space="425" w:num="1"/>
          <w:docGrid w:type="lines" w:linePitch="312" w:charSpace="0"/>
        </w:sect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3"/>
        <w:spacing w:after="0"/>
        <w:rPr>
          <w:rFonts w:ascii="微软雅黑" w:hAnsi="微软雅黑" w:eastAsia="微软雅黑" w:cs="微软雅黑"/>
          <w:color w:val="3B3838" w:themeColor="background2" w:themeShade="40"/>
          <w:sz w:val="21"/>
          <w:szCs w:val="21"/>
          <w:lang w:eastAsia="zh-CN"/>
        </w:rPr>
      </w:pPr>
    </w:p>
    <w:p>
      <w:pPr>
        <w:pStyle w:val="12"/>
        <w:rPr>
          <w:lang w:eastAsia="zh-CN"/>
        </w:rPr>
      </w:pPr>
      <w:r>
        <w:rPr>
          <w:rFonts w:hint="eastAsia"/>
          <w:lang w:eastAsia="zh-CN"/>
        </w:rPr>
        <w:drawing>
          <wp:inline distT="0" distB="0" distL="114300" distR="114300">
            <wp:extent cx="1621155" cy="447675"/>
            <wp:effectExtent l="0" t="0" r="17145" b="9525"/>
            <wp:docPr id="21" name="图片 21" descr="微信图片_202104261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426104041"/>
                    <pic:cNvPicPr>
                      <a:picLocks noChangeAspect="1"/>
                    </pic:cNvPicPr>
                  </pic:nvPicPr>
                  <pic:blipFill>
                    <a:blip r:embed="rId7" cstate="print"/>
                    <a:stretch>
                      <a:fillRect/>
                    </a:stretch>
                  </pic:blipFill>
                  <pic:spPr>
                    <a:xfrm>
                      <a:off x="0" y="0"/>
                      <a:ext cx="1621155" cy="447675"/>
                    </a:xfrm>
                    <a:prstGeom prst="rect">
                      <a:avLst/>
                    </a:prstGeom>
                  </pic:spPr>
                </pic:pic>
              </a:graphicData>
            </a:graphic>
          </wp:inline>
        </w:drawing>
      </w:r>
    </w:p>
    <w:p>
      <w:pPr>
        <w:pStyle w:val="12"/>
        <w:rPr>
          <w:rFonts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版权归武汉蓝魔方文化发展公司所有</w:t>
      </w:r>
    </w:p>
    <w:p>
      <w:pPr>
        <w:pStyle w:val="12"/>
        <w:rPr>
          <w:rFonts w:ascii="微软雅黑" w:hAnsi="微软雅黑" w:eastAsia="微软雅黑" w:cs="微软雅黑"/>
          <w:b w:val="0"/>
          <w:color w:val="3B3838" w:themeColor="background2" w:themeShade="40"/>
          <w:sz w:val="21"/>
          <w:szCs w:val="21"/>
          <w:lang w:eastAsia="zh-CN"/>
        </w:rPr>
      </w:pPr>
      <w:r>
        <w:rPr>
          <w:rFonts w:hint="eastAsia" w:ascii="微软雅黑" w:hAnsi="微软雅黑" w:eastAsia="微软雅黑" w:cs="微软雅黑"/>
          <w:sz w:val="24"/>
          <w:szCs w:val="24"/>
          <w:lang w:eastAsia="zh-CN"/>
        </w:rPr>
        <w:t>客服中心电话：027-87873488</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path/>
          <v:fill on="f" focussize="0,0"/>
          <v:stroke on="f" weight="0.5pt" joinstyle="miter"/>
          <v:imagedata o:title=""/>
          <o:lock v:ext="edit"/>
          <v:textbox inset="0mm,0mm,0mm,0mm" style="mso-fit-shape-to-text:t;">
            <w:txbxContent>
              <w:p>
                <w:pPr>
                  <w:pStyle w:val="4"/>
                </w:pPr>
                <w:r>
                  <w:fldChar w:fldCharType="begin"/>
                </w:r>
                <w:r>
                  <w:instrText xml:space="preserve"> PAGE  \* MERGEFORMAT </w:instrText>
                </w:r>
                <w:r>
                  <w:fldChar w:fldCharType="separate"/>
                </w:r>
                <w:r>
                  <w:t>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45622"/>
    <w:multiLevelType w:val="singleLevel"/>
    <w:tmpl w:val="9FC45622"/>
    <w:lvl w:ilvl="0" w:tentative="0">
      <w:start w:val="1"/>
      <w:numFmt w:val="decimal"/>
      <w:suff w:val="nothing"/>
      <w:lvlText w:val="%1）"/>
      <w:lvlJc w:val="left"/>
    </w:lvl>
  </w:abstractNum>
  <w:abstractNum w:abstractNumId="1">
    <w:nsid w:val="07DFFABC"/>
    <w:multiLevelType w:val="singleLevel"/>
    <w:tmpl w:val="07DFFABC"/>
    <w:lvl w:ilvl="0" w:tentative="0">
      <w:start w:val="1"/>
      <w:numFmt w:val="decimal"/>
      <w:suff w:val="nothing"/>
      <w:lvlText w:val="%1）"/>
      <w:lvlJc w:val="left"/>
    </w:lvl>
  </w:abstractNum>
  <w:abstractNum w:abstractNumId="2">
    <w:nsid w:val="180527E0"/>
    <w:multiLevelType w:val="multilevel"/>
    <w:tmpl w:val="180527E0"/>
    <w:lvl w:ilvl="0" w:tentative="0">
      <w:start w:val="0"/>
      <w:numFmt w:val="bullet"/>
      <w:lvlText w:val="•"/>
      <w:lvlJc w:val="left"/>
      <w:pPr>
        <w:ind w:left="720" w:hanging="360"/>
      </w:pPr>
      <w:rPr>
        <w:rFonts w:hint="default" w:ascii="Arial" w:hAnsi="Arial"/>
        <w:color w:val="auto"/>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0BE209F"/>
    <w:multiLevelType w:val="multilevel"/>
    <w:tmpl w:val="30BE209F"/>
    <w:lvl w:ilvl="0" w:tentative="0">
      <w:start w:val="1"/>
      <w:numFmt w:val="bullet"/>
      <w:pStyle w:val="15"/>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4D17706"/>
    <w:multiLevelType w:val="singleLevel"/>
    <w:tmpl w:val="44D17706"/>
    <w:lvl w:ilvl="0" w:tentative="0">
      <w:start w:val="3"/>
      <w:numFmt w:val="chineseCounting"/>
      <w:suff w:val="nothing"/>
      <w:lvlText w:val="%1、"/>
      <w:lvlJc w:val="left"/>
      <w:rPr>
        <w:rFonts w:hint="eastAsia"/>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737EC"/>
    <w:rsid w:val="00353890"/>
    <w:rsid w:val="0065454F"/>
    <w:rsid w:val="008737EC"/>
    <w:rsid w:val="026B63B2"/>
    <w:rsid w:val="028F22A2"/>
    <w:rsid w:val="0D2D316D"/>
    <w:rsid w:val="108E4F14"/>
    <w:rsid w:val="1DF10666"/>
    <w:rsid w:val="2A335EA7"/>
    <w:rsid w:val="2B542891"/>
    <w:rsid w:val="2CE2317D"/>
    <w:rsid w:val="2EE5611C"/>
    <w:rsid w:val="321674F5"/>
    <w:rsid w:val="356B2AB4"/>
    <w:rsid w:val="36460378"/>
    <w:rsid w:val="3782785E"/>
    <w:rsid w:val="3B9C32C4"/>
    <w:rsid w:val="3C8D750E"/>
    <w:rsid w:val="3D9F60E2"/>
    <w:rsid w:val="41E919C1"/>
    <w:rsid w:val="44233D22"/>
    <w:rsid w:val="49271FDC"/>
    <w:rsid w:val="526C590D"/>
    <w:rsid w:val="53131649"/>
    <w:rsid w:val="5A1B1196"/>
    <w:rsid w:val="5BCA7DAB"/>
    <w:rsid w:val="5C7174C3"/>
    <w:rsid w:val="5EAF6BF7"/>
    <w:rsid w:val="63A74F70"/>
    <w:rsid w:val="646F78FD"/>
    <w:rsid w:val="69873B13"/>
    <w:rsid w:val="6AFF2A21"/>
    <w:rsid w:val="6B0A3E88"/>
    <w:rsid w:val="700C2A6D"/>
    <w:rsid w:val="70F4035C"/>
    <w:rsid w:val="71B400F6"/>
    <w:rsid w:val="73FE223C"/>
    <w:rsid w:val="75731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Text 1 Bold"/>
    <w:qFormat/>
    <w:uiPriority w:val="0"/>
    <w:pPr>
      <w:spacing w:after="160" w:line="259" w:lineRule="auto"/>
    </w:pPr>
    <w:rPr>
      <w:rFonts w:ascii="Arial" w:hAnsi="Arial" w:eastAsiaTheme="minorEastAsia" w:cstheme="minorBidi"/>
      <w:b/>
      <w:color w:val="252525" w:themeColor="text1" w:themeTint="D9"/>
      <w:lang w:val="en-US" w:eastAsia="en-US" w:bidi="ar-SA"/>
    </w:rPr>
  </w:style>
  <w:style w:type="paragraph" w:styleId="3">
    <w:name w:val="Balloon Text"/>
    <w:basedOn w:val="1"/>
    <w:link w:val="28"/>
    <w:uiPriority w:val="0"/>
    <w:rPr>
      <w:sz w:val="18"/>
      <w:szCs w:val="18"/>
    </w:rPr>
  </w:style>
  <w:style w:type="paragraph" w:styleId="4">
    <w:name w:val="footer"/>
    <w:basedOn w:val="1"/>
    <w:unhideWhenUsed/>
    <w:qFormat/>
    <w:uiPriority w:val="99"/>
    <w:pPr>
      <w:tabs>
        <w:tab w:val="center" w:pos="4819"/>
        <w:tab w:val="right" w:pos="9638"/>
      </w:tabs>
    </w:pPr>
  </w:style>
  <w:style w:type="paragraph" w:styleId="5">
    <w:name w:val="header"/>
    <w:basedOn w:val="1"/>
    <w:unhideWhenUsed/>
    <w:qFormat/>
    <w:uiPriority w:val="99"/>
    <w:pPr>
      <w:tabs>
        <w:tab w:val="center" w:pos="4819"/>
        <w:tab w:val="right" w:pos="9638"/>
      </w:tabs>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unhideWhenUsed/>
    <w:qFormat/>
    <w:uiPriority w:val="99"/>
    <w:rPr>
      <w:color w:val="0563C1" w:themeColor="hyperlink"/>
      <w:u w:val="single"/>
    </w:rPr>
  </w:style>
  <w:style w:type="paragraph" w:customStyle="1" w:styleId="10">
    <w:name w:val="Title 1"/>
    <w:qFormat/>
    <w:uiPriority w:val="0"/>
    <w:pPr>
      <w:spacing w:line="840" w:lineRule="atLeast"/>
      <w:jc w:val="center"/>
    </w:pPr>
    <w:rPr>
      <w:rFonts w:ascii="Arial" w:hAnsi="Arial" w:eastAsiaTheme="majorEastAsia" w:cstheme="majorBidi"/>
      <w:b/>
      <w:color w:val="252525" w:themeColor="text1" w:themeTint="D9"/>
      <w:sz w:val="80"/>
      <w:szCs w:val="80"/>
      <w:lang w:val="en-US" w:eastAsia="en-US" w:bidi="ar-SA"/>
    </w:rPr>
  </w:style>
  <w:style w:type="paragraph" w:customStyle="1" w:styleId="11">
    <w:name w:val="Subtitle 1"/>
    <w:qFormat/>
    <w:uiPriority w:val="0"/>
    <w:pPr>
      <w:spacing w:before="320" w:line="360" w:lineRule="exact"/>
      <w:jc w:val="center"/>
    </w:pPr>
    <w:rPr>
      <w:rFonts w:ascii="Arial" w:hAnsi="Arial" w:eastAsiaTheme="minorEastAsia" w:cstheme="minorBidi"/>
      <w:color w:val="252525" w:themeColor="text1" w:themeTint="D9"/>
      <w:sz w:val="32"/>
      <w:szCs w:val="32"/>
      <w:lang w:val="en-US" w:eastAsia="en-US" w:bidi="ar-SA"/>
    </w:rPr>
  </w:style>
  <w:style w:type="paragraph" w:customStyle="1" w:styleId="12">
    <w:name w:val="Title 2"/>
    <w:qFormat/>
    <w:uiPriority w:val="0"/>
    <w:pPr>
      <w:spacing w:after="120" w:line="259" w:lineRule="auto"/>
    </w:pPr>
    <w:rPr>
      <w:rFonts w:ascii="Arial" w:hAnsi="Arial" w:eastAsiaTheme="majorEastAsia" w:cstheme="majorBidi"/>
      <w:b/>
      <w:color w:val="585858" w:themeColor="text1" w:themeTint="A6"/>
      <w:sz w:val="48"/>
      <w:szCs w:val="48"/>
      <w:lang w:val="en-US" w:eastAsia="en-US" w:bidi="ar-SA"/>
    </w:rPr>
  </w:style>
  <w:style w:type="paragraph" w:customStyle="1" w:styleId="13">
    <w:name w:val="Text 1"/>
    <w:qFormat/>
    <w:uiPriority w:val="0"/>
    <w:pPr>
      <w:spacing w:after="200" w:line="250" w:lineRule="exact"/>
    </w:pPr>
    <w:rPr>
      <w:rFonts w:ascii="Arial" w:hAnsi="Arial" w:eastAsiaTheme="minorEastAsia" w:cstheme="minorBidi"/>
      <w:color w:val="252525" w:themeColor="text1" w:themeTint="D9"/>
      <w:lang w:val="en-US" w:eastAsia="en-US" w:bidi="ar-SA"/>
    </w:rPr>
  </w:style>
  <w:style w:type="paragraph" w:customStyle="1" w:styleId="14">
    <w:name w:val="Box Subtitle"/>
    <w:qFormat/>
    <w:uiPriority w:val="0"/>
    <w:pPr>
      <w:spacing w:after="120" w:line="360" w:lineRule="exact"/>
    </w:pPr>
    <w:rPr>
      <w:rFonts w:ascii="Arial" w:hAnsi="Arial" w:eastAsiaTheme="minorEastAsia" w:cstheme="minorBidi"/>
      <w:color w:val="3F3F3F" w:themeColor="text1" w:themeTint="BF"/>
      <w:sz w:val="32"/>
      <w:szCs w:val="32"/>
      <w:lang w:val="en-US" w:eastAsia="en-US" w:bidi="ar-SA"/>
    </w:rPr>
  </w:style>
  <w:style w:type="paragraph" w:customStyle="1" w:styleId="15">
    <w:name w:val="Text 1 dots"/>
    <w:qFormat/>
    <w:uiPriority w:val="0"/>
    <w:pPr>
      <w:numPr>
        <w:ilvl w:val="0"/>
        <w:numId w:val="1"/>
      </w:numPr>
      <w:spacing w:after="60" w:line="250" w:lineRule="exact"/>
      <w:ind w:left="357" w:hanging="357"/>
    </w:pPr>
    <w:rPr>
      <w:rFonts w:ascii="Arial" w:hAnsi="Arial" w:eastAsiaTheme="minorEastAsia" w:cstheme="minorBidi"/>
      <w:color w:val="252525" w:themeColor="text1" w:themeTint="D9"/>
      <w:lang w:val="en-US" w:eastAsia="en-US" w:bidi="ar-SA"/>
    </w:rPr>
  </w:style>
  <w:style w:type="paragraph" w:customStyle="1" w:styleId="16">
    <w:name w:val="Subtitle 2"/>
    <w:qFormat/>
    <w:uiPriority w:val="0"/>
    <w:pPr>
      <w:spacing w:after="40" w:line="259" w:lineRule="auto"/>
    </w:pPr>
    <w:rPr>
      <w:rFonts w:ascii="Arial" w:hAnsi="Arial" w:eastAsiaTheme="minorEastAsia" w:cstheme="minorBidi"/>
      <w:b/>
      <w:color w:val="252525" w:themeColor="text1" w:themeTint="D9"/>
      <w:sz w:val="24"/>
      <w:lang w:val="en-US" w:eastAsia="en-US" w:bidi="ar-SA"/>
    </w:rPr>
  </w:style>
  <w:style w:type="paragraph" w:customStyle="1" w:styleId="17">
    <w:name w:val="Text 1 no spacing"/>
    <w:qFormat/>
    <w:uiPriority w:val="0"/>
    <w:pPr>
      <w:spacing w:line="250" w:lineRule="exact"/>
    </w:pPr>
    <w:rPr>
      <w:rFonts w:ascii="Arial" w:hAnsi="Arial" w:eastAsiaTheme="minorEastAsia" w:cstheme="minorBidi"/>
      <w:color w:val="252525" w:themeColor="text1" w:themeTint="D9"/>
      <w:lang w:val="en-US" w:eastAsia="en-US" w:bidi="ar-SA"/>
    </w:rPr>
  </w:style>
  <w:style w:type="paragraph" w:customStyle="1" w:styleId="18">
    <w:name w:val="Italic red"/>
    <w:qFormat/>
    <w:uiPriority w:val="0"/>
    <w:pPr>
      <w:spacing w:before="360" w:after="360" w:line="280" w:lineRule="exact"/>
      <w:ind w:left="680"/>
    </w:pPr>
    <w:rPr>
      <w:rFonts w:ascii="Arial" w:hAnsi="Arial" w:eastAsiaTheme="majorEastAsia" w:cstheme="majorBidi"/>
      <w:i/>
      <w:color w:val="73A9DB" w:themeColor="accent1" w:themeTint="D9"/>
      <w:sz w:val="24"/>
      <w:szCs w:val="26"/>
      <w:lang w:val="en-US" w:eastAsia="en-US" w:bidi="ar-SA"/>
    </w:rPr>
  </w:style>
  <w:style w:type="paragraph" w:customStyle="1" w:styleId="19">
    <w:name w:val="Table text 1"/>
    <w:basedOn w:val="1"/>
    <w:link w:val="21"/>
    <w:qFormat/>
    <w:uiPriority w:val="0"/>
    <w:rPr>
      <w:color w:val="252525" w:themeColor="text1" w:themeTint="D9"/>
      <w:sz w:val="18"/>
      <w:szCs w:val="18"/>
    </w:rPr>
  </w:style>
  <w:style w:type="character" w:customStyle="1" w:styleId="20">
    <w:name w:val="Table text 1 bold Char"/>
    <w:basedOn w:val="21"/>
    <w:link w:val="22"/>
    <w:qFormat/>
    <w:uiPriority w:val="0"/>
    <w:rPr>
      <w:b/>
    </w:rPr>
  </w:style>
  <w:style w:type="character" w:customStyle="1" w:styleId="21">
    <w:name w:val="Table text 1 Char"/>
    <w:basedOn w:val="8"/>
    <w:link w:val="19"/>
    <w:qFormat/>
    <w:uiPriority w:val="0"/>
    <w:rPr>
      <w:color w:val="252525" w:themeColor="text1" w:themeTint="D9"/>
      <w:sz w:val="18"/>
      <w:szCs w:val="18"/>
    </w:rPr>
  </w:style>
  <w:style w:type="paragraph" w:customStyle="1" w:styleId="22">
    <w:name w:val="Table text 1 bold"/>
    <w:basedOn w:val="19"/>
    <w:link w:val="20"/>
    <w:qFormat/>
    <w:uiPriority w:val="0"/>
    <w:pPr>
      <w:spacing w:line="230" w:lineRule="exact"/>
    </w:pPr>
    <w:rPr>
      <w:b/>
    </w:rPr>
  </w:style>
  <w:style w:type="paragraph" w:customStyle="1" w:styleId="23">
    <w:name w:val="Table text 1 bold white"/>
    <w:basedOn w:val="22"/>
    <w:qFormat/>
    <w:uiPriority w:val="0"/>
    <w:rPr>
      <w:color w:val="FFFFFF" w:themeColor="background1" w:themeTint="D9"/>
    </w:rPr>
  </w:style>
  <w:style w:type="paragraph" w:customStyle="1" w:styleId="24">
    <w:name w:val="Table text 3 bold"/>
    <w:qFormat/>
    <w:uiPriority w:val="0"/>
    <w:pPr>
      <w:spacing w:line="20" w:lineRule="atLeast"/>
    </w:pPr>
    <w:rPr>
      <w:rFonts w:ascii="Arial" w:hAnsi="Arial" w:eastAsiaTheme="minorEastAsia" w:cstheme="minorBidi"/>
      <w:b/>
      <w:color w:val="FFFFFF" w:themeColor="background1"/>
      <w:sz w:val="22"/>
      <w:szCs w:val="22"/>
      <w:lang w:val="en-US" w:eastAsia="en-US" w:bidi="ar-SA"/>
    </w:rPr>
  </w:style>
  <w:style w:type="paragraph" w:customStyle="1" w:styleId="25">
    <w:name w:val="Table text 2"/>
    <w:qFormat/>
    <w:uiPriority w:val="0"/>
    <w:pPr>
      <w:spacing w:line="160" w:lineRule="exact"/>
    </w:pPr>
    <w:rPr>
      <w:rFonts w:ascii="Arial" w:hAnsi="Arial" w:eastAsiaTheme="minorEastAsia" w:cstheme="minorBidi"/>
      <w:color w:val="252525" w:themeColor="text1" w:themeTint="D9"/>
      <w:sz w:val="12"/>
      <w:szCs w:val="12"/>
      <w:lang w:val="en-US" w:eastAsia="en-US" w:bidi="ar-SA"/>
    </w:rPr>
  </w:style>
  <w:style w:type="character" w:styleId="26">
    <w:name w:val="Placeholder Text"/>
    <w:basedOn w:val="8"/>
    <w:semiHidden/>
    <w:qFormat/>
    <w:uiPriority w:val="99"/>
    <w:rPr>
      <w:color w:val="808080"/>
    </w:rPr>
  </w:style>
  <w:style w:type="paragraph" w:styleId="27">
    <w:name w:val="List Paragraph"/>
    <w:basedOn w:val="1"/>
    <w:qFormat/>
    <w:uiPriority w:val="34"/>
    <w:pPr>
      <w:ind w:firstLine="420" w:firstLineChars="200"/>
    </w:pPr>
  </w:style>
  <w:style w:type="character" w:customStyle="1" w:styleId="28">
    <w:name w:val="批注框文本 Char"/>
    <w:basedOn w:val="8"/>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48"/>
    <customShpInfo spid="_x0000_s1046"/>
    <customShpInfo spid="_x0000_s1052"/>
    <customShpInfo spid="_x0000_s1054"/>
    <customShpInfo spid="_x0000_s1053"/>
    <customShpInfo spid="_x0000_s1051"/>
    <customShpInfo spid="_x0000_s1050"/>
    <customShpInfo spid="_x0000_s1049"/>
    <customShpInfo spid="_x0000_s1047"/>
    <customShpInfo spid="_x0000_s1045"/>
    <customShpInfo spid="_x0000_s1044"/>
    <customShpInfo spid="_x0000_s1043"/>
    <customShpInfo spid="_x0000_s1042"/>
    <customShpInfo spid="_x0000_s1041"/>
    <customShpInfo spid="_x0000_s1040"/>
    <customShpInfo spid="_x0000_s1039"/>
    <customShpInfo spid="_x0000_s1038"/>
    <customShpInfo spid="_x0000_s1035"/>
    <customShpInfo spid="_x0000_s1036"/>
    <customShpInfo spid="_x0000_s1034"/>
    <customShpInfo spid="_x0000_s1033"/>
    <customShpInfo spid="_x0000_s1032"/>
    <customShpInfo spid="_x0000_s1030"/>
    <customShpInfo spid="_x0000_s1029"/>
    <customShpInfo spid="_x0000_s1031"/>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803</Words>
  <Characters>4582</Characters>
  <Lines>38</Lines>
  <Paragraphs>10</Paragraphs>
  <TotalTime>3</TotalTime>
  <ScaleCrop>false</ScaleCrop>
  <LinksUpToDate>false</LinksUpToDate>
  <CharactersWithSpaces>5375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懂，让彼此更近</cp:lastModifiedBy>
  <cp:lastPrinted>2021-04-28T07:28:00Z</cp:lastPrinted>
  <dcterms:modified xsi:type="dcterms:W3CDTF">2021-05-10T03:36:06Z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B588C4F121244E4A87076F4D708E0C2A</vt:lpwstr>
  </property>
</Properties>
</file>