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lang w:val="en-US" w:eastAsia="zh-CN"/>
        </w:rPr>
      </w:pPr>
    </w:p>
    <w:p>
      <w:pPr>
        <w:jc w:val="left"/>
        <w:rPr>
          <w:rFonts w:hint="eastAsia" w:ascii="微软雅黑" w:hAnsi="微软雅黑" w:eastAsia="微软雅黑" w:cs="微软雅黑"/>
          <w:b/>
          <w:bCs/>
          <w:sz w:val="28"/>
          <w:szCs w:val="28"/>
          <w:lang w:val="en-US" w:eastAsia="zh-CN"/>
        </w:rPr>
      </w:pPr>
      <w:r>
        <w:rPr>
          <w:rFonts w:hint="eastAsia" w:ascii="微软雅黑" w:hAnsi="微软雅黑" w:eastAsia="微软雅黑" w:cs="微软雅黑"/>
          <w:b/>
          <w:bCs/>
          <w:sz w:val="28"/>
          <w:szCs w:val="28"/>
          <w:lang w:val="en-US" w:eastAsia="zh-CN"/>
        </w:rPr>
        <w:t>蓝魔方  户外产品</w:t>
      </w:r>
    </w:p>
    <w:p>
      <w:pPr>
        <w:jc w:val="left"/>
        <w:rPr>
          <w:rFonts w:hint="eastAsia" w:ascii="微软雅黑" w:hAnsi="微软雅黑" w:eastAsia="微软雅黑" w:cs="微软雅黑"/>
          <w:b/>
          <w:bCs/>
          <w:sz w:val="32"/>
          <w:szCs w:val="32"/>
          <w:lang w:val="en-US" w:eastAsia="zh-CN"/>
        </w:rPr>
      </w:pPr>
      <w:r>
        <w:rPr>
          <w:rFonts w:hint="eastAsia" w:ascii="微软雅黑" w:hAnsi="微软雅黑" w:eastAsia="微软雅黑" w:cs="微软雅黑"/>
          <w:b/>
          <w:bCs/>
          <w:sz w:val="32"/>
          <w:szCs w:val="32"/>
          <w:lang w:val="en-US" w:eastAsia="zh-CN"/>
        </w:rPr>
        <w:t>沙水游戏区（沙水四件套）</w:t>
      </w:r>
    </w:p>
    <w:p>
      <w:pPr>
        <w:pStyle w:val="2"/>
        <w:rPr>
          <w:rFonts w:hint="eastAsia" w:ascii="微软雅黑" w:hAnsi="微软雅黑" w:eastAsia="微软雅黑" w:cs="微软雅黑"/>
          <w:b/>
          <w:bCs/>
          <w:sz w:val="32"/>
          <w:szCs w:val="32"/>
          <w:lang w:val="en-US" w:eastAsia="zh-CN"/>
        </w:rPr>
      </w:pPr>
    </w:p>
    <w:p>
      <w:pPr>
        <w:pStyle w:val="2"/>
        <w:rPr>
          <w:rFonts w:hint="eastAsia" w:ascii="微软雅黑" w:hAnsi="微软雅黑" w:eastAsia="微软雅黑" w:cs="微软雅黑"/>
          <w:b/>
          <w:bCs/>
          <w:sz w:val="32"/>
          <w:szCs w:val="32"/>
          <w:lang w:val="en-US" w:eastAsia="zh-CN"/>
        </w:rPr>
      </w:pPr>
    </w:p>
    <w:p>
      <w:pPr>
        <w:jc w:val="center"/>
        <w:rPr>
          <w:rFonts w:hint="eastAsia" w:ascii="微软雅黑" w:hAnsi="微软雅黑" w:eastAsia="微软雅黑" w:cs="微软雅黑"/>
          <w:b/>
          <w:bCs/>
          <w:sz w:val="84"/>
          <w:szCs w:val="84"/>
          <w:lang w:val="en-US" w:eastAsia="zh-CN"/>
        </w:rPr>
      </w:pPr>
      <w:r>
        <w:rPr>
          <w:rFonts w:hint="eastAsia" w:ascii="微软雅黑" w:hAnsi="微软雅黑" w:eastAsia="微软雅黑" w:cs="微软雅黑"/>
          <w:b/>
          <w:bCs/>
          <w:sz w:val="84"/>
          <w:szCs w:val="84"/>
          <w:lang w:val="en-US" w:eastAsia="zh-CN"/>
        </w:rPr>
        <w:drawing>
          <wp:inline distT="0" distB="0" distL="114300" distR="114300">
            <wp:extent cx="5257800" cy="3943350"/>
            <wp:effectExtent l="12700" t="12700" r="25400" b="25400"/>
            <wp:docPr id="6" name="图片 6" descr="沙水四件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沙水四件套"/>
                    <pic:cNvPicPr>
                      <a:picLocks noChangeAspect="1"/>
                    </pic:cNvPicPr>
                  </pic:nvPicPr>
                  <pic:blipFill>
                    <a:blip r:embed="rId6"/>
                    <a:stretch>
                      <a:fillRect/>
                    </a:stretch>
                  </pic:blipFill>
                  <pic:spPr>
                    <a:xfrm>
                      <a:off x="0" y="0"/>
                      <a:ext cx="5257800" cy="3943350"/>
                    </a:xfrm>
                    <a:prstGeom prst="rect">
                      <a:avLst/>
                    </a:prstGeom>
                    <a:ln w="12700" cmpd="sng">
                      <a:solidFill>
                        <a:schemeClr val="tx1"/>
                      </a:solidFill>
                      <a:prstDash val="solid"/>
                    </a:ln>
                  </pic:spPr>
                </pic:pic>
              </a:graphicData>
            </a:graphic>
          </wp:inline>
        </w:drawing>
      </w:r>
    </w:p>
    <w:p>
      <w:pPr>
        <w:jc w:val="center"/>
        <w:rPr>
          <w:rFonts w:hint="eastAsia" w:ascii="微软雅黑" w:hAnsi="微软雅黑" w:eastAsia="微软雅黑" w:cs="微软雅黑"/>
          <w:b/>
          <w:bCs/>
          <w:sz w:val="84"/>
          <w:szCs w:val="84"/>
          <w:lang w:val="en-US" w:eastAsia="zh-CN"/>
        </w:rPr>
      </w:pPr>
    </w:p>
    <w:p>
      <w:pPr>
        <w:pStyle w:val="2"/>
        <w:bidi w:val="0"/>
        <w:rPr>
          <w:rFonts w:hint="eastAsia" w:ascii="微软雅黑" w:hAnsi="微软雅黑" w:eastAsia="微软雅黑" w:cs="微软雅黑"/>
          <w:b/>
          <w:bCs w:val="0"/>
          <w:sz w:val="32"/>
          <w:szCs w:val="32"/>
          <w:lang w:val="en-US" w:eastAsia="zh-CN"/>
        </w:rPr>
      </w:pPr>
    </w:p>
    <w:p>
      <w:pPr>
        <w:pStyle w:val="2"/>
        <w:bidi w:val="0"/>
        <w:rPr>
          <w:rFonts w:hint="eastAsia" w:ascii="微软雅黑" w:hAnsi="微软雅黑" w:eastAsia="微软雅黑" w:cs="微软雅黑"/>
          <w:sz w:val="32"/>
          <w:szCs w:val="32"/>
          <w:lang w:val="en-US" w:eastAsia="zh-CN"/>
        </w:rPr>
      </w:pPr>
      <w:r>
        <w:rPr>
          <w:sz w:val="32"/>
        </w:rPr>
        <mc:AlternateContent>
          <mc:Choice Requires="wps">
            <w:drawing>
              <wp:anchor distT="0" distB="0" distL="114300" distR="114300" simplePos="0" relativeHeight="251659264" behindDoc="0" locked="0" layoutInCell="1" allowOverlap="1">
                <wp:simplePos x="0" y="0"/>
                <wp:positionH relativeFrom="column">
                  <wp:posOffset>3519170</wp:posOffset>
                </wp:positionH>
                <wp:positionV relativeFrom="paragraph">
                  <wp:posOffset>69850</wp:posOffset>
                </wp:positionV>
                <wp:extent cx="1913890" cy="619760"/>
                <wp:effectExtent l="0" t="0" r="10160" b="8890"/>
                <wp:wrapNone/>
                <wp:docPr id="14" name="文本框 14"/>
                <wp:cNvGraphicFramePr/>
                <a:graphic xmlns:a="http://schemas.openxmlformats.org/drawingml/2006/main">
                  <a:graphicData uri="http://schemas.microsoft.com/office/word/2010/wordprocessingShape">
                    <wps:wsp>
                      <wps:cNvSpPr txBox="1"/>
                      <wps:spPr>
                        <a:xfrm>
                          <a:off x="5661660" y="9136380"/>
                          <a:ext cx="1913890" cy="6197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77.1pt;margin-top:5.5pt;height:48.8pt;width:150.7pt;z-index:251659264;mso-width-relative:page;mso-height-relative:page;" fillcolor="#FFFFFF [3201]" filled="t" stroked="f" coordsize="21600,21600" o:gfxdata="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AAAAABkcnMvUEsBAhQAFAAAAAgAh07iQA4FnGXVAAAA&#10;CgEAAA8AAAAAAAAAAQAgAAAAIgAAAGRycy9kb3ducmV2LnhtbFBLAQIUABQAAAAIAIdO4kBaumEw&#10;WQIAAJ0EAAAOAAAAAAAAAAEAIAAAACQBAABkcnMvZTJvRG9jLnhtbFBLBQYAAAAABgAGAFkBAADv&#10;BQAAAAA=&#10;">
                <v:fill on="t" focussize="0,0"/>
                <v:stroke on="f" weight="0.5pt"/>
                <v:imagedata o:title=""/>
                <o:lock v:ext="edit" aspectratio="f"/>
                <v:textbox>
                  <w:txbxContent>
                    <w:p>
                      <w:r>
                        <w:rPr>
                          <w:rFonts w:hint="eastAsia" w:ascii="微软雅黑" w:hAnsi="微软雅黑" w:eastAsia="微软雅黑" w:cs="微软雅黑"/>
                          <w:lang w:val="en-US" w:eastAsia="zh-CN"/>
                        </w:rPr>
                        <w:drawing>
                          <wp:inline distT="0" distB="0" distL="114300" distR="114300">
                            <wp:extent cx="1621155" cy="447675"/>
                            <wp:effectExtent l="0" t="0" r="17145" b="9525"/>
                            <wp:docPr id="8" name="图片 8"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txbxContent>
                </v:textbox>
              </v:shape>
            </w:pict>
          </mc:Fallback>
        </mc:AlternateContent>
      </w:r>
      <w:r>
        <w:rPr>
          <w:rFonts w:hint="eastAsia" w:ascii="微软雅黑" w:hAnsi="微软雅黑" w:eastAsia="微软雅黑" w:cs="微软雅黑"/>
          <w:b/>
          <w:bCs w:val="0"/>
          <w:sz w:val="32"/>
          <w:szCs w:val="32"/>
          <w:lang w:val="en-US" w:eastAsia="zh-CN"/>
        </w:rPr>
        <w:t>说 明 书</w:t>
      </w:r>
      <w:r>
        <w:rPr>
          <w:rFonts w:hint="eastAsia" w:ascii="微软雅黑" w:hAnsi="微软雅黑" w:eastAsia="微软雅黑" w:cs="微软雅黑"/>
          <w:lang w:val="en-US" w:eastAsia="zh-CN"/>
        </w:rPr>
        <w:t xml:space="preserve">                                                           </w:t>
      </w:r>
    </w:p>
    <w:p>
      <w:pPr>
        <w:pStyle w:val="2"/>
        <w:numPr>
          <w:ilvl w:val="0"/>
          <w:numId w:val="0"/>
        </w:numPr>
        <w:bidi w:val="0"/>
        <w:rPr>
          <w:rFonts w:hint="eastAsia" w:ascii="微软雅黑" w:hAnsi="微软雅黑" w:eastAsia="微软雅黑" w:cs="微软雅黑"/>
          <w:b w:val="0"/>
          <w:bCs/>
          <w:lang w:val="en-US" w:eastAsia="zh-CN"/>
        </w:rPr>
      </w:pPr>
      <w:r>
        <w:rPr>
          <w:rFonts w:hint="eastAsia" w:ascii="微软雅黑" w:hAnsi="微软雅黑" w:eastAsia="微软雅黑" w:cs="微软雅黑"/>
          <w:b w:val="0"/>
          <w:bCs/>
          <w:lang w:val="en-US" w:eastAsia="zh-CN"/>
        </w:rPr>
        <w:t>Kindergarten environment solution provider</w:t>
      </w:r>
    </w:p>
    <w:p>
      <w:pPr>
        <w:pStyle w:val="2"/>
        <w:numPr>
          <w:ilvl w:val="0"/>
          <w:numId w:val="0"/>
        </w:numPr>
        <w:bidi w:val="0"/>
        <w:rPr>
          <w:rFonts w:hint="eastAsia" w:ascii="微软雅黑" w:hAnsi="微软雅黑" w:eastAsia="微软雅黑" w:cs="微软雅黑"/>
          <w:sz w:val="24"/>
          <w:szCs w:val="24"/>
          <w:lang w:eastAsia="zh-CN"/>
        </w:rPr>
        <w:sectPr>
          <w:pgSz w:w="11906" w:h="16838"/>
          <w:pgMar w:top="1440" w:right="1800" w:bottom="1440" w:left="1800" w:header="851" w:footer="992" w:gutter="0"/>
          <w:pgNumType w:fmt="decimal" w:start="1"/>
          <w:cols w:space="425" w:num="1"/>
          <w:docGrid w:type="lines" w:linePitch="312" w:charSpace="0"/>
        </w:sectPr>
      </w:pPr>
    </w:p>
    <w:p>
      <w:pPr>
        <w:pStyle w:val="2"/>
        <w:numPr>
          <w:ilvl w:val="0"/>
          <w:numId w:val="0"/>
        </w:numPr>
        <w:bidi w:val="0"/>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sz w:val="24"/>
          <w:szCs w:val="24"/>
          <w:lang w:eastAsia="zh-CN"/>
        </w:rPr>
        <w:t>一、产品清单</w:t>
      </w:r>
    </w:p>
    <w:p>
      <w:pPr>
        <w:pStyle w:val="2"/>
        <w:numPr>
          <w:ilvl w:val="0"/>
          <w:numId w:val="0"/>
        </w:numPr>
        <w:bidi w:val="0"/>
        <w:rPr>
          <w:rFonts w:hint="eastAsia" w:ascii="微软雅黑" w:hAnsi="微软雅黑" w:eastAsia="微软雅黑" w:cs="微软雅黑"/>
          <w:b w:val="0"/>
          <w:bCs w:val="0"/>
          <w:sz w:val="21"/>
          <w:szCs w:val="21"/>
          <w:lang w:eastAsia="zh-CN"/>
        </w:rPr>
      </w:pPr>
      <w:r>
        <w:rPr>
          <w:rFonts w:hint="eastAsia" w:ascii="微软雅黑" w:hAnsi="微软雅黑" w:eastAsia="微软雅黑" w:cs="微软雅黑"/>
          <w:b w:val="0"/>
          <w:i w:val="0"/>
          <w:color w:val="000000"/>
          <w:kern w:val="0"/>
          <w:sz w:val="20"/>
          <w:szCs w:val="20"/>
          <w:u w:val="none"/>
          <w:lang w:val="en-US" w:eastAsia="zh-CN" w:bidi="ar"/>
        </w:rPr>
        <w:t>产品名称：</w:t>
      </w:r>
      <w:r>
        <w:rPr>
          <w:rFonts w:hint="eastAsia" w:ascii="微软雅黑" w:hAnsi="微软雅黑" w:eastAsia="微软雅黑" w:cs="微软雅黑"/>
          <w:b w:val="0"/>
          <w:i w:val="0"/>
          <w:color w:val="000000"/>
          <w:kern w:val="0"/>
          <w:sz w:val="20"/>
          <w:szCs w:val="20"/>
          <w:u w:val="single"/>
          <w:lang w:val="en-US" w:eastAsia="zh-CN" w:bidi="ar"/>
        </w:rPr>
        <w:t>沙水四件套</w:t>
      </w:r>
      <w:r>
        <w:rPr>
          <w:rFonts w:hint="eastAsia" w:ascii="微软雅黑" w:hAnsi="微软雅黑" w:eastAsia="微软雅黑" w:cs="微软雅黑"/>
          <w:b w:val="0"/>
          <w:i w:val="0"/>
          <w:color w:val="000000"/>
          <w:kern w:val="0"/>
          <w:sz w:val="20"/>
          <w:szCs w:val="20"/>
          <w:u w:val="none"/>
          <w:lang w:val="en-US" w:eastAsia="zh-CN" w:bidi="ar"/>
        </w:rPr>
        <w:t xml:space="preserve">                                          型号：</w:t>
      </w:r>
      <w:r>
        <w:rPr>
          <w:rFonts w:hint="eastAsia" w:ascii="微软雅黑" w:hAnsi="微软雅黑" w:eastAsia="微软雅黑" w:cs="微软雅黑"/>
          <w:b w:val="0"/>
          <w:i w:val="0"/>
          <w:color w:val="000000"/>
          <w:kern w:val="0"/>
          <w:sz w:val="20"/>
          <w:szCs w:val="20"/>
          <w:u w:val="single"/>
          <w:lang w:val="en-US" w:eastAsia="zh-CN" w:bidi="ar"/>
        </w:rPr>
        <w:t>LMF-SSH02</w:t>
      </w:r>
      <w:r>
        <w:rPr>
          <w:rFonts w:hint="eastAsia" w:ascii="微软雅黑" w:hAnsi="微软雅黑" w:eastAsia="微软雅黑" w:cs="微软雅黑"/>
          <w:b w:val="0"/>
          <w:i w:val="0"/>
          <w:color w:val="000000"/>
          <w:kern w:val="0"/>
          <w:sz w:val="20"/>
          <w:szCs w:val="20"/>
          <w:u w:val="none"/>
          <w:lang w:val="en-US" w:eastAsia="zh-CN" w:bidi="ar"/>
        </w:rPr>
        <w:t xml:space="preserve"> </w:t>
      </w:r>
      <w:r>
        <w:rPr>
          <w:rFonts w:hint="eastAsia" w:ascii="微软雅黑" w:hAnsi="微软雅黑" w:eastAsia="微软雅黑" w:cs="微软雅黑"/>
          <w:b w:val="0"/>
          <w:i w:val="0"/>
          <w:color w:val="000000"/>
          <w:kern w:val="0"/>
          <w:sz w:val="21"/>
          <w:szCs w:val="21"/>
          <w:u w:val="none"/>
          <w:lang w:val="en-US" w:eastAsia="zh-CN" w:bidi="ar"/>
        </w:rPr>
        <w:t xml:space="preserve"> </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30"/>
        <w:gridCol w:w="700"/>
        <w:gridCol w:w="1537"/>
        <w:gridCol w:w="963"/>
        <w:gridCol w:w="712"/>
        <w:gridCol w:w="1613"/>
        <w:gridCol w:w="1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单品名称</w:t>
            </w:r>
          </w:p>
        </w:tc>
        <w:tc>
          <w:tcPr>
            <w:tcW w:w="700" w:type="dxa"/>
            <w:vAlign w:val="top"/>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序号</w:t>
            </w:r>
          </w:p>
        </w:tc>
        <w:tc>
          <w:tcPr>
            <w:tcW w:w="1537" w:type="dxa"/>
            <w:vAlign w:val="top"/>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名称</w:t>
            </w:r>
          </w:p>
        </w:tc>
        <w:tc>
          <w:tcPr>
            <w:tcW w:w="963" w:type="dxa"/>
            <w:vAlign w:val="top"/>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数量</w:t>
            </w:r>
          </w:p>
        </w:tc>
        <w:tc>
          <w:tcPr>
            <w:tcW w:w="712" w:type="dxa"/>
            <w:vAlign w:val="top"/>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序号</w:t>
            </w:r>
          </w:p>
        </w:tc>
        <w:tc>
          <w:tcPr>
            <w:tcW w:w="1613" w:type="dxa"/>
            <w:vAlign w:val="top"/>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名称</w:t>
            </w:r>
          </w:p>
        </w:tc>
        <w:tc>
          <w:tcPr>
            <w:tcW w:w="1363" w:type="dxa"/>
            <w:vAlign w:val="top"/>
          </w:tcPr>
          <w:p>
            <w:pPr>
              <w:bidi w:val="0"/>
              <w:spacing w:line="480" w:lineRule="auto"/>
              <w:jc w:val="cente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pPr>
            <w:r>
              <w:rPr>
                <w:rFonts w:hint="eastAsia" w:ascii="微软雅黑" w:hAnsi="微软雅黑" w:eastAsia="微软雅黑" w:cs="微软雅黑"/>
                <w:b/>
                <w:bCs/>
                <w:color w:val="000000" w:themeColor="text1"/>
                <w:sz w:val="20"/>
                <w:szCs w:val="20"/>
                <w:vertAlign w:val="baseline"/>
                <w:lang w:val="en-US" w:eastAsia="zh-CN"/>
                <w14:textFill>
                  <w14:solidFill>
                    <w14:schemeClr w14:val="tx1">
                      <w14:alpha w14:val="0"/>
                    </w14:schemeClr>
                  </w14:solidFill>
                </w14:textFill>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restart"/>
          </w:tcPr>
          <w:p>
            <w:pPr>
              <w:bidi w:val="0"/>
              <w:spacing w:line="480" w:lineRule="auto"/>
              <w:jc w:val="center"/>
              <w:rPr>
                <w:rFonts w:hint="eastAsia" w:ascii="微软雅黑" w:hAnsi="微软雅黑" w:eastAsia="微软雅黑" w:cs="微软雅黑"/>
                <w:sz w:val="20"/>
                <w:szCs w:val="20"/>
                <w:vertAlign w:val="baseline"/>
                <w:lang w:val="en-US" w:eastAsia="zh-CN"/>
              </w:rPr>
            </w:pPr>
          </w:p>
          <w:p>
            <w:pPr>
              <w:bidi w:val="0"/>
              <w:spacing w:line="480" w:lineRule="auto"/>
              <w:jc w:val="center"/>
              <w:rPr>
                <w:rFonts w:hint="eastAsia" w:ascii="微软雅黑" w:hAnsi="微软雅黑" w:eastAsia="微软雅黑" w:cs="微软雅黑"/>
                <w:sz w:val="20"/>
                <w:szCs w:val="20"/>
                <w:vertAlign w:val="baseline"/>
                <w:lang w:val="en-US" w:eastAsia="zh-CN"/>
              </w:rPr>
            </w:pPr>
          </w:p>
          <w:p>
            <w:pPr>
              <w:bidi w:val="0"/>
              <w:spacing w:line="480" w:lineRule="auto"/>
              <w:jc w:val="center"/>
              <w:rPr>
                <w:rFonts w:hint="eastAsia" w:ascii="微软雅黑" w:hAnsi="微软雅黑" w:eastAsia="微软雅黑" w:cs="微软雅黑"/>
                <w:sz w:val="20"/>
                <w:szCs w:val="20"/>
                <w:vertAlign w:val="baseline"/>
                <w:lang w:val="en-US" w:eastAsia="zh-CN"/>
              </w:rPr>
            </w:pPr>
          </w:p>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沙水三段组</w:t>
            </w:r>
          </w:p>
        </w:tc>
        <w:tc>
          <w:tcPr>
            <w:tcW w:w="700" w:type="dxa"/>
            <w:vAlign w:val="top"/>
          </w:tcPr>
          <w:p>
            <w:pPr>
              <w:bidi w:val="0"/>
              <w:spacing w:line="480" w:lineRule="auto"/>
              <w:jc w:val="center"/>
              <w:rPr>
                <w:rFonts w:hint="eastAsia" w:ascii="微软雅黑" w:hAnsi="微软雅黑" w:eastAsia="微软雅黑" w:cs="微软雅黑"/>
                <w:i w:val="0"/>
                <w:color w:val="000000"/>
                <w:kern w:val="2"/>
                <w:sz w:val="20"/>
                <w:szCs w:val="20"/>
                <w:u w:val="none"/>
                <w:lang w:val="en-US" w:eastAsia="zh-CN" w:bidi="ar-SA"/>
              </w:rPr>
            </w:pPr>
            <w:r>
              <w:rPr>
                <w:rFonts w:hint="eastAsia" w:ascii="微软雅黑" w:hAnsi="微软雅黑" w:eastAsia="微软雅黑" w:cs="微软雅黑"/>
                <w:sz w:val="20"/>
                <w:szCs w:val="20"/>
                <w:vertAlign w:val="baseline"/>
                <w:lang w:val="en-US" w:eastAsia="zh-CN"/>
              </w:rPr>
              <w:t>1</w:t>
            </w:r>
          </w:p>
        </w:tc>
        <w:tc>
          <w:tcPr>
            <w:tcW w:w="1537" w:type="dxa"/>
            <w:vAlign w:val="center"/>
          </w:tcPr>
          <w:p>
            <w:pPr>
              <w:keepNext w:val="0"/>
              <w:keepLines w:val="0"/>
              <w:widowControl/>
              <w:suppressLineNumbers w:val="0"/>
              <w:spacing w:line="480" w:lineRule="auto"/>
              <w:jc w:val="center"/>
              <w:textAlignment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i w:val="0"/>
                <w:color w:val="000000"/>
                <w:kern w:val="0"/>
                <w:sz w:val="20"/>
                <w:szCs w:val="20"/>
                <w:u w:val="none"/>
                <w:lang w:val="en-US" w:eastAsia="zh-CN" w:bidi="ar"/>
              </w:rPr>
              <w:t>水井操作台</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9</w:t>
            </w: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双亲水台支架</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储水桶木桶</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10</w:t>
            </w: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单亲水台支架</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3</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储水桶胶桶</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11</w:t>
            </w: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双孔亲水台</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4</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手压井伐</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12</w:t>
            </w: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单孔亲水台</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5</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连接管</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3根</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13</w:t>
            </w: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圆木桩</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6</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原木高水槽</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14</w:t>
            </w: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连接件</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7</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原木低水槽</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2个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p>
        </w:tc>
        <w:tc>
          <w:tcPr>
            <w:tcW w:w="13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8</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低水槽支撑架</w:t>
            </w:r>
          </w:p>
        </w:tc>
        <w:tc>
          <w:tcPr>
            <w:tcW w:w="9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p>
        </w:tc>
        <w:tc>
          <w:tcPr>
            <w:tcW w:w="161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p>
        </w:tc>
        <w:tc>
          <w:tcPr>
            <w:tcW w:w="1363" w:type="dxa"/>
            <w:vAlign w:val="top"/>
          </w:tcPr>
          <w:p>
            <w:pPr>
              <w:bidi w:val="0"/>
              <w:spacing w:line="480" w:lineRule="auto"/>
              <w:jc w:val="center"/>
              <w:rPr>
                <w:rFonts w:hint="eastAsia" w:ascii="微软雅黑" w:hAnsi="微软雅黑" w:eastAsia="微软雅黑" w:cs="微软雅黑"/>
                <w:kern w:val="2"/>
                <w:sz w:val="20"/>
                <w:szCs w:val="20"/>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restart"/>
          </w:tcPr>
          <w:p>
            <w:pPr>
              <w:bidi w:val="0"/>
              <w:spacing w:line="480" w:lineRule="auto"/>
              <w:jc w:val="center"/>
              <w:rPr>
                <w:rFonts w:hint="eastAsia" w:ascii="微软雅黑" w:hAnsi="微软雅黑" w:eastAsia="微软雅黑" w:cs="微软雅黑"/>
                <w:sz w:val="20"/>
                <w:szCs w:val="20"/>
                <w:vertAlign w:val="baseline"/>
                <w:lang w:val="en-US" w:eastAsia="zh-CN"/>
              </w:rPr>
            </w:pPr>
          </w:p>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沙水天平</w:t>
            </w: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天平基柱</w:t>
            </w:r>
          </w:p>
        </w:tc>
        <w:tc>
          <w:tcPr>
            <w:tcW w:w="963"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4</w:t>
            </w: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小竹桶</w:t>
            </w:r>
          </w:p>
        </w:tc>
        <w:tc>
          <w:tcPr>
            <w:tcW w:w="1363"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秤杆</w:t>
            </w:r>
          </w:p>
        </w:tc>
        <w:tc>
          <w:tcPr>
            <w:tcW w:w="963"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5</w:t>
            </w: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螺丝</w:t>
            </w:r>
          </w:p>
        </w:tc>
        <w:tc>
          <w:tcPr>
            <w:tcW w:w="1363"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3</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木秤盘</w:t>
            </w:r>
          </w:p>
        </w:tc>
        <w:tc>
          <w:tcPr>
            <w:tcW w:w="963"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2个</w:t>
            </w:r>
          </w:p>
        </w:tc>
        <w:tc>
          <w:tcPr>
            <w:tcW w:w="712"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restart"/>
          </w:tcPr>
          <w:p>
            <w:pPr>
              <w:bidi w:val="0"/>
              <w:spacing w:line="480" w:lineRule="auto"/>
              <w:jc w:val="center"/>
              <w:rPr>
                <w:rFonts w:hint="eastAsia" w:ascii="微软雅黑" w:hAnsi="微软雅黑" w:eastAsia="微软雅黑" w:cs="微软雅黑"/>
                <w:sz w:val="20"/>
                <w:szCs w:val="20"/>
                <w:vertAlign w:val="baseline"/>
                <w:lang w:val="en-US" w:eastAsia="zh-CN"/>
              </w:rPr>
            </w:pPr>
          </w:p>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沙水重力轨</w:t>
            </w: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主体</w:t>
            </w:r>
          </w:p>
        </w:tc>
        <w:tc>
          <w:tcPr>
            <w:tcW w:w="9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4</w:t>
            </w: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小球</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支脚</w:t>
            </w:r>
          </w:p>
        </w:tc>
        <w:tc>
          <w:tcPr>
            <w:tcW w:w="9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2个</w:t>
            </w:r>
          </w:p>
        </w:tc>
        <w:tc>
          <w:tcPr>
            <w:tcW w:w="712"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5</w:t>
            </w: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螺丝</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3</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储球盒</w:t>
            </w:r>
          </w:p>
        </w:tc>
        <w:tc>
          <w:tcPr>
            <w:tcW w:w="9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restart"/>
          </w:tcPr>
          <w:p>
            <w:pPr>
              <w:keepNext w:val="0"/>
              <w:keepLines w:val="0"/>
              <w:pageBreakBefore w:val="0"/>
              <w:widowControl w:val="0"/>
              <w:kinsoku/>
              <w:wordWrap/>
              <w:overflowPunct/>
              <w:topLinePunct w:val="0"/>
              <w:autoSpaceDE/>
              <w:autoSpaceDN/>
              <w:bidi w:val="0"/>
              <w:adjustRightInd/>
              <w:snapToGrid/>
              <w:spacing w:line="960" w:lineRule="auto"/>
              <w:jc w:val="center"/>
              <w:textAlignment w:val="auto"/>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筛沙架</w:t>
            </w: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三角架</w:t>
            </w:r>
          </w:p>
        </w:tc>
        <w:tc>
          <w:tcPr>
            <w:tcW w:w="9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3</w:t>
            </w: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粗筛沙盒</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630" w:type="dxa"/>
            <w:vMerge w:val="continue"/>
          </w:tcPr>
          <w:p>
            <w:pPr>
              <w:bidi w:val="0"/>
              <w:spacing w:line="480" w:lineRule="auto"/>
              <w:jc w:val="center"/>
              <w:rPr>
                <w:rFonts w:hint="eastAsia" w:ascii="微软雅黑" w:hAnsi="微软雅黑" w:eastAsia="微软雅黑" w:cs="微软雅黑"/>
                <w:sz w:val="20"/>
                <w:szCs w:val="20"/>
                <w:vertAlign w:val="baseline"/>
                <w:lang w:val="en-US" w:eastAsia="zh-CN"/>
              </w:rPr>
            </w:pPr>
          </w:p>
        </w:tc>
        <w:tc>
          <w:tcPr>
            <w:tcW w:w="700"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2</w:t>
            </w:r>
          </w:p>
        </w:tc>
        <w:tc>
          <w:tcPr>
            <w:tcW w:w="1537"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细筛沙盒</w:t>
            </w:r>
          </w:p>
        </w:tc>
        <w:tc>
          <w:tcPr>
            <w:tcW w:w="9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c>
          <w:tcPr>
            <w:tcW w:w="712" w:type="dxa"/>
            <w:vAlign w:val="top"/>
          </w:tcPr>
          <w:p>
            <w:pPr>
              <w:bidi w:val="0"/>
              <w:spacing w:line="480" w:lineRule="auto"/>
              <w:jc w:val="center"/>
              <w:rPr>
                <w:rFonts w:hint="default"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4</w:t>
            </w:r>
          </w:p>
        </w:tc>
        <w:tc>
          <w:tcPr>
            <w:tcW w:w="161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盛沙盒</w:t>
            </w:r>
          </w:p>
        </w:tc>
        <w:tc>
          <w:tcPr>
            <w:tcW w:w="1363" w:type="dxa"/>
            <w:vAlign w:val="top"/>
          </w:tcPr>
          <w:p>
            <w:pPr>
              <w:bidi w:val="0"/>
              <w:spacing w:line="480" w:lineRule="auto"/>
              <w:jc w:val="center"/>
              <w:rPr>
                <w:rFonts w:hint="eastAsia" w:ascii="微软雅黑" w:hAnsi="微软雅黑" w:eastAsia="微软雅黑" w:cs="微软雅黑"/>
                <w:sz w:val="20"/>
                <w:szCs w:val="20"/>
                <w:vertAlign w:val="baseline"/>
                <w:lang w:val="en-US" w:eastAsia="zh-CN"/>
              </w:rPr>
            </w:pPr>
            <w:r>
              <w:rPr>
                <w:rFonts w:hint="eastAsia" w:ascii="微软雅黑" w:hAnsi="微软雅黑" w:eastAsia="微软雅黑" w:cs="微软雅黑"/>
                <w:sz w:val="20"/>
                <w:szCs w:val="20"/>
                <w:vertAlign w:val="baseline"/>
                <w:lang w:val="en-US" w:eastAsia="zh-CN"/>
              </w:rPr>
              <w:t>1个</w:t>
            </w:r>
          </w:p>
        </w:tc>
      </w:tr>
    </w:tbl>
    <w:p>
      <w:pPr>
        <w:pStyle w:val="15"/>
        <w:rPr>
          <w:rFonts w:hint="eastAsia" w:ascii="微软雅黑" w:hAnsi="微软雅黑" w:eastAsia="微软雅黑" w:cs="微软雅黑"/>
          <w:b/>
          <w:bCs w:val="0"/>
          <w:sz w:val="20"/>
          <w:szCs w:val="20"/>
          <w:lang w:eastAsia="zh-CN"/>
        </w:rPr>
      </w:pPr>
      <w:r>
        <w:rPr>
          <w:rFonts w:hint="eastAsia" w:ascii="微软雅黑" w:hAnsi="微软雅黑" w:eastAsia="微软雅黑" w:cs="微软雅黑"/>
          <w:b/>
          <w:bCs w:val="0"/>
          <w:sz w:val="20"/>
          <w:szCs w:val="20"/>
          <w:lang w:eastAsia="zh-CN"/>
        </w:rPr>
        <w:t>产品材质说明：</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原木是一种天然的有机材料，可能会具有结头，开裂和铜锈。木材的外观随气候条件和湿度的变化而变化。这些现象并不是不完美的表现；它们是完全自然的，给我们的游戏场装备带来了自然的外观和具有开放性的设计。</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2.由于木材的张力会在桩端和桩侧造成开裂，</w:t>
      </w:r>
      <w:r>
        <w:rPr>
          <w:rFonts w:hint="eastAsia" w:ascii="微软雅黑" w:hAnsi="微软雅黑" w:eastAsia="微软雅黑" w:cs="微软雅黑"/>
          <w:b w:val="0"/>
          <w:bCs w:val="0"/>
          <w:color w:val="3B3838" w:themeColor="background2" w:themeShade="40"/>
          <w:sz w:val="20"/>
          <w:szCs w:val="20"/>
          <w:lang w:eastAsia="zh-CN"/>
        </w:rPr>
        <w:t>这些开裂不会影响结构强度，也不会带来任何腐烂或真菌的风险。这是原木的正常现象，通常不会造成安全或质量问题。</w:t>
      </w:r>
    </w:p>
    <w:p>
      <w:pPr>
        <w:pStyle w:val="12"/>
        <w:rPr>
          <w:rFonts w:hint="eastAsia" w:ascii="微软雅黑" w:hAnsi="微软雅黑" w:eastAsia="微软雅黑" w:cs="微软雅黑"/>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3.</w:t>
      </w:r>
      <w:r>
        <w:rPr>
          <w:rFonts w:hint="eastAsia" w:ascii="微软雅黑" w:hAnsi="微软雅黑" w:eastAsia="微软雅黑" w:cs="微软雅黑"/>
          <w:b w:val="0"/>
          <w:bCs w:val="0"/>
          <w:color w:val="3B3838" w:themeColor="background2" w:themeShade="40"/>
          <w:sz w:val="20"/>
          <w:szCs w:val="20"/>
          <w:lang w:eastAsia="zh-CN"/>
        </w:rPr>
        <w:t>在常规检查和维护期间，如果在游戏装备的主要部分出现严重变形，则必须处理解决。例如，如果一个开口出现在一个受力移动的结构附近，则根据当前的安全标准，需检查并处理开裂问题。如果木材的变形不违反当前的安全标准，则可视为原木装备的一大优势！</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二、玩法建议</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蓝魔方沙水游戏区是一款由生态原木手工打造的开放性沙水游戏平台。用以支撑3-6岁儿童创造性的玩沙玩水。</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1.沙水三段组：</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一段，取水段，由储水木桶和原始水泵构成。锻炼儿童的协作精神，让儿童获得空气压力取水的基本经验与乐趣。</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二段，流水段，由三根手工挖凿而成的原木水槽构成。三根原木水槽前高后低，儿童可在这里观察水流动的状态。可自由堆砌沙坝堵住水流，可观察小纸船顺流而下的样子，可用碎石分流，可感知水从木槽滴落在亲水平台时的声音与状态。</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三段，存水段，由两个圆形亲水平台构成。亲水平台是儿童创造力、想象力锻炼的主战场。配合各种卡通人物、玩沙工具，儿童可在亲水平台玩沙弄水、建构自己的童话世界。两个平台一个供儿童站立玩耍、一个供儿童蹲姿玩耍，无需限制，尽情创造。</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配合材料，原木墩，用来支持儿童身高不够时搭台；疲惫时休憩。</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2.原木天平：</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由底座、秤杆、2个秤盘和2个小竹桶构成。原木天平由原生态柏木手工打磨而成，支持儿童感受自然的美感，支持儿童进行基本的重力平衡探索。</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3.重力轨：</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由生态柏木手工打磨而成，支持儿童进行简单的重力探索。</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重力轨配置有三个木球，希望教师同时可以提供给儿童生活中常见的其他物件给儿童游戏，如乒乓球、网球、小木块等等等等。</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重力轨重在探索，什么形状的物体滚动的快？什么样的材料滚动的快？石子滚动的了吗？加水会滚动的更快吗？自己能创造一个让石子、木球滚动的平台吗？</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4.筛沙架：</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两个筛沙框配置有两种不同尺寸的纱网，游戏时可悬挂于三脚木架下摇晃筛沙，也可由两名儿童配合抬起筛沙。筛沙时将承沙框置于其下，便于儿童观察纱网留下的沙粒与掉落的砂粒的区别。</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拓展：在筛沙框里加一块布，看看，还能晒出砂粒来吗？</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蓝魔方沙水游戏区材料在儿童玩耍时，需要配合大量的生活中常见材料的配合。如：各种小球、各种塑料小玩偶、小石子、布料等等。需要老师掌握好游戏目标后，合理增加游戏材料资源。</w:t>
      </w:r>
    </w:p>
    <w:p>
      <w:pPr>
        <w:pStyle w:val="12"/>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bCs w:val="0"/>
          <w:color w:val="3B3838" w:themeColor="background2" w:themeShade="40"/>
          <w:sz w:val="20"/>
          <w:szCs w:val="20"/>
          <w:lang w:val="en-US" w:eastAsia="zh-CN"/>
        </w:rPr>
        <w:t>蓝魔方沙水游戏区材料提供的是一个生态的游戏平台。在这里，儿童的想象与创造力能得到最大限制的开放。</w:t>
      </w:r>
    </w:p>
    <w:p>
      <w:pPr>
        <w:pStyle w:val="2"/>
        <w:numPr>
          <w:ilvl w:val="0"/>
          <w:numId w:val="0"/>
        </w:numPr>
        <w:bidi w:val="0"/>
        <w:ind w:leftChars="0"/>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20"/>
          <w:szCs w:val="20"/>
          <w:lang w:val="en-US" w:eastAsia="zh-CN" w:bidi="ar-SA"/>
          <w14:textFill>
            <w14:solidFill>
              <w14:schemeClr w14:val="tx1">
                <w14:lumMod w14:val="85000"/>
                <w14:lumOff w14:val="15000"/>
                <w14:lumMod w14:val="85000"/>
                <w14:lumOff w14:val="15000"/>
              </w14:schemeClr>
            </w14:solidFill>
          </w14:textFill>
        </w:rPr>
        <w:t>另外，您可以在蓝魔方网站找到许多相关资料或扫描下列二维码查看对应资料：</w:t>
      </w:r>
    </w:p>
    <w:p>
      <w:pPr>
        <w:pStyle w:val="2"/>
        <w:numPr>
          <w:ilvl w:val="0"/>
          <w:numId w:val="0"/>
        </w:numPr>
        <w:bidi w:val="0"/>
        <w:ind w:leftChars="0"/>
        <w:jc w:val="center"/>
        <w:rPr>
          <w:rFonts w:hint="default"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pP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drawing>
          <wp:inline distT="0" distB="0" distL="114300" distR="114300">
            <wp:extent cx="2095500" cy="1943100"/>
            <wp:effectExtent l="0" t="0" r="0" b="0"/>
            <wp:docPr id="1" name="图片 1" descr="安装说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安装说明"/>
                    <pic:cNvPicPr>
                      <a:picLocks noChangeAspect="1"/>
                    </pic:cNvPicPr>
                  </pic:nvPicPr>
                  <pic:blipFill>
                    <a:blip r:embed="rId8"/>
                    <a:stretch>
                      <a:fillRect/>
                    </a:stretch>
                  </pic:blipFill>
                  <pic:spPr>
                    <a:xfrm>
                      <a:off x="0" y="0"/>
                      <a:ext cx="2095500" cy="1943100"/>
                    </a:xfrm>
                    <a:prstGeom prst="rect">
                      <a:avLst/>
                    </a:prstGeom>
                  </pic:spPr>
                </pic:pic>
              </a:graphicData>
            </a:graphic>
          </wp:inline>
        </w:drawing>
      </w:r>
      <w:r>
        <w:rPr>
          <w:rFonts w:hint="eastAsia" w:ascii="微软雅黑" w:hAnsi="微软雅黑" w:eastAsia="微软雅黑" w:cs="微软雅黑"/>
          <w:b w:val="0"/>
          <w:color w:val="474747" w:themeColor="text1" w:themeTint="D9"/>
          <w:sz w:val="44"/>
          <w:szCs w:val="44"/>
          <w:lang w:val="en-US" w:eastAsia="zh-CN" w:bidi="ar-SA"/>
          <w14:textFill>
            <w14:solidFill>
              <w14:schemeClr w14:val="tx1">
                <w14:lumMod w14:val="85000"/>
                <w14:lumOff w14:val="15000"/>
                <w14:lumMod w14:val="85000"/>
                <w14:lumOff w14:val="15000"/>
              </w14:schemeClr>
            </w14:solidFill>
          </w14:textFill>
        </w:rPr>
        <w:t xml:space="preserve"> </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三、安装说明</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1.安装说明电子文件获取方式</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您可以在蓝魔方官网找到许多相关资料。安装指导说明对于查找零部件非常重要，它一般随货发送，如果遗失或损坏，可直接扫描玩法建议中的二维码，或者访问下面网址的网站下载。</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www.whlmf.com</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请按以下步骤操作获取：</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1）百度搜索“武汉蓝魔方”或直接输入网址：</w:t>
      </w:r>
      <w:r>
        <w:rPr>
          <w:rFonts w:hint="eastAsia" w:ascii="微软雅黑" w:hAnsi="微软雅黑" w:eastAsia="微软雅黑" w:cs="微软雅黑"/>
          <w:b w:val="0"/>
          <w:bCs w:val="0"/>
          <w:sz w:val="20"/>
          <w:szCs w:val="20"/>
          <w:u w:val="none"/>
          <w:lang w:val="en-US" w:eastAsia="zh-CN"/>
        </w:rPr>
        <w:t>www.whlmf.com；</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2）拉动网页至网站底部，点击服务与支持，找到对应产品手册文件后下载或直接查阅；</w:t>
      </w:r>
    </w:p>
    <w:p>
      <w:pPr>
        <w:pStyle w:val="12"/>
        <w:rPr>
          <w:rFonts w:hint="eastAsia" w:ascii="微软雅黑" w:hAnsi="微软雅黑" w:eastAsia="微软雅黑" w:cs="微软雅黑"/>
          <w:b w:val="0"/>
          <w:bCs w:val="0"/>
          <w:sz w:val="20"/>
          <w:szCs w:val="20"/>
          <w:lang w:val="en-US" w:eastAsia="zh-CN"/>
        </w:rPr>
      </w:pPr>
      <w:r>
        <w:rPr>
          <w:rFonts w:hint="eastAsia" w:ascii="微软雅黑" w:hAnsi="微软雅黑" w:eastAsia="微软雅黑" w:cs="微软雅黑"/>
          <w:b w:val="0"/>
          <w:bCs w:val="0"/>
          <w:sz w:val="20"/>
          <w:szCs w:val="20"/>
          <w:lang w:val="en-US" w:eastAsia="zh-CN"/>
        </w:rPr>
        <w:t>3）所有技术资料可以直接打开或下载。</w:t>
      </w: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eastAsia="zh-CN"/>
        </w:rPr>
        <w:t>四、维护建议</w:t>
      </w:r>
    </w:p>
    <w:p>
      <w:pPr>
        <w:pStyle w:val="12"/>
        <w:rPr>
          <w:rFonts w:hint="eastAsia" w:ascii="微软雅黑" w:hAnsi="微软雅黑" w:eastAsia="微软雅黑" w:cs="微软雅黑"/>
          <w:b w:val="0"/>
          <w:bCs w:val="0"/>
          <w:sz w:val="20"/>
          <w:szCs w:val="20"/>
          <w:lang w:val="da-DK" w:eastAsia="zh-CN"/>
        </w:rPr>
      </w:pPr>
      <w:r>
        <w:rPr>
          <w:rFonts w:hint="eastAsia" w:ascii="微软雅黑" w:hAnsi="微软雅黑" w:eastAsia="微软雅黑" w:cs="微软雅黑"/>
          <w:b w:val="0"/>
          <w:bCs w:val="0"/>
          <w:sz w:val="20"/>
          <w:szCs w:val="20"/>
          <w:lang w:eastAsia="zh-CN"/>
        </w:rPr>
        <w:t>每天/每周进行目测检查，以便发现问题；每月/每季度的检查结果需记录在维修表中；更全面的年检需要书写年检报告，并附其相关的其他检查文件。</w:t>
      </w:r>
    </w:p>
    <w:p>
      <w:pPr>
        <w:pStyle w:val="12"/>
        <w:rPr>
          <w:rFonts w:hint="eastAsia" w:ascii="微软雅黑" w:hAnsi="微软雅黑" w:eastAsia="微软雅黑" w:cs="微软雅黑"/>
          <w:b w:val="0"/>
          <w:bCs w:val="0"/>
          <w:sz w:val="20"/>
          <w:szCs w:val="20"/>
          <w:lang w:eastAsia="zh-CN"/>
        </w:rPr>
      </w:pPr>
      <w:r>
        <w:rPr>
          <w:rFonts w:hint="eastAsia" w:ascii="微软雅黑" w:hAnsi="微软雅黑" w:eastAsia="微软雅黑" w:cs="微软雅黑"/>
          <w:b w:val="0"/>
          <w:bCs w:val="0"/>
          <w:sz w:val="20"/>
          <w:szCs w:val="20"/>
          <w:lang w:eastAsia="zh-CN"/>
        </w:rPr>
        <w:t>我们建议业主方为游戏装备建立一个档案，至少包含以下内容：</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销售和质保文件</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w:t>
      </w:r>
      <w:r>
        <w:rPr>
          <w:rFonts w:hint="eastAsia" w:ascii="微软雅黑" w:hAnsi="微软雅黑" w:eastAsia="微软雅黑" w:cs="微软雅黑"/>
          <w:b w:val="0"/>
          <w:bCs w:val="0"/>
          <w:color w:val="auto"/>
          <w:sz w:val="20"/>
          <w:szCs w:val="20"/>
          <w:lang w:eastAsia="zh-CN"/>
        </w:rPr>
        <w:t>记录</w:t>
      </w:r>
    </w:p>
    <w:p>
      <w:pPr>
        <w:pStyle w:val="14"/>
        <w:numPr>
          <w:ilvl w:val="0"/>
          <w:numId w:val="2"/>
        </w:numPr>
        <w:rPr>
          <w:rFonts w:hint="eastAsia" w:ascii="微软雅黑" w:hAnsi="微软雅黑" w:eastAsia="微软雅黑" w:cs="微软雅黑"/>
          <w:b w:val="0"/>
          <w:bCs w:val="0"/>
          <w:color w:val="auto"/>
          <w:sz w:val="20"/>
          <w:szCs w:val="20"/>
        </w:rPr>
      </w:pPr>
      <w:r>
        <w:rPr>
          <w:rFonts w:hint="eastAsia" w:ascii="微软雅黑" w:hAnsi="微软雅黑" w:eastAsia="微软雅黑" w:cs="微软雅黑"/>
          <w:b w:val="0"/>
          <w:bCs w:val="0"/>
          <w:color w:val="auto"/>
          <w:sz w:val="20"/>
          <w:szCs w:val="20"/>
        </w:rPr>
        <w:t>维修标识</w:t>
      </w:r>
    </w:p>
    <w:p>
      <w:pPr>
        <w:pStyle w:val="14"/>
        <w:numPr>
          <w:ilvl w:val="0"/>
          <w:numId w:val="2"/>
        </w:numPr>
        <w:rPr>
          <w:rFonts w:hint="eastAsia" w:ascii="微软雅黑" w:hAnsi="微软雅黑" w:eastAsia="微软雅黑" w:cs="微软雅黑"/>
          <w:b w:val="0"/>
          <w:bCs w:val="0"/>
          <w:color w:val="auto"/>
          <w:sz w:val="20"/>
          <w:szCs w:val="20"/>
          <w:lang w:eastAsia="zh-CN"/>
        </w:rPr>
      </w:pPr>
      <w:r>
        <w:rPr>
          <w:rFonts w:hint="eastAsia" w:ascii="微软雅黑" w:hAnsi="微软雅黑" w:eastAsia="微软雅黑" w:cs="微软雅黑"/>
          <w:b w:val="0"/>
          <w:bCs w:val="0"/>
          <w:color w:val="auto"/>
          <w:sz w:val="20"/>
          <w:szCs w:val="20"/>
        </w:rPr>
        <w:t xml:space="preserve">综合年检报告 </w:t>
      </w:r>
    </w:p>
    <w:p>
      <w:pPr>
        <w:pStyle w:val="14"/>
        <w:numPr>
          <w:ilvl w:val="0"/>
          <w:numId w:val="0"/>
        </w:numPr>
        <w:ind w:left="360" w:leftChars="0"/>
        <w:rPr>
          <w:rFonts w:hint="eastAsia" w:ascii="微软雅黑" w:hAnsi="微软雅黑" w:eastAsia="微软雅黑" w:cs="微软雅黑"/>
          <w:b w:val="0"/>
          <w:bCs w:val="0"/>
          <w:color w:val="auto"/>
          <w:lang w:eastAsia="zh-CN"/>
        </w:rPr>
      </w:pP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1.零部件</w:t>
      </w:r>
    </w:p>
    <w:p>
      <w:pPr>
        <w:pStyle w:val="12"/>
        <w:rPr>
          <w:rFonts w:hint="eastAsia" w:ascii="微软雅黑" w:hAnsi="微软雅黑" w:eastAsia="微软雅黑" w:cs="微软雅黑"/>
          <w:b w:val="0"/>
          <w:bCs w:val="0"/>
          <w:sz w:val="20"/>
          <w:szCs w:val="20"/>
        </w:rPr>
      </w:pPr>
      <w:r>
        <w:rPr>
          <w:rFonts w:hint="eastAsia" w:ascii="微软雅黑" w:hAnsi="微软雅黑" w:eastAsia="微软雅黑" w:cs="微软雅黑"/>
          <w:b w:val="0"/>
          <w:bCs w:val="0"/>
          <w:sz w:val="20"/>
          <w:szCs w:val="20"/>
          <w:lang w:eastAsia="zh-CN"/>
        </w:rPr>
        <w:t>质保和安全条款仅适用于蓝魔方原装零部件。</w:t>
      </w:r>
      <w:r>
        <w:rPr>
          <w:rFonts w:hint="eastAsia" w:ascii="微软雅黑" w:hAnsi="微软雅黑" w:eastAsia="微软雅黑" w:cs="微软雅黑"/>
          <w:b w:val="0"/>
          <w:bCs w:val="0"/>
          <w:sz w:val="20"/>
          <w:szCs w:val="20"/>
        </w:rPr>
        <w:t>零部件</w:t>
      </w:r>
      <w:r>
        <w:rPr>
          <w:rFonts w:hint="eastAsia" w:ascii="微软雅黑" w:hAnsi="微软雅黑" w:eastAsia="微软雅黑" w:cs="微软雅黑"/>
          <w:b w:val="0"/>
          <w:bCs w:val="0"/>
          <w:sz w:val="20"/>
          <w:szCs w:val="20"/>
          <w:lang w:eastAsia="zh-CN"/>
        </w:rPr>
        <w:t>可咨询蓝魔方销售团队或当地经销商</w:t>
      </w:r>
      <w:r>
        <w:rPr>
          <w:rFonts w:hint="eastAsia" w:ascii="微软雅黑" w:hAnsi="微软雅黑" w:eastAsia="微软雅黑" w:cs="微软雅黑"/>
          <w:b w:val="0"/>
          <w:bCs w:val="0"/>
          <w:sz w:val="20"/>
          <w:szCs w:val="20"/>
        </w:rPr>
        <w:t>。</w:t>
      </w:r>
    </w:p>
    <w:p>
      <w:pPr>
        <w:pStyle w:val="12"/>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2.</w:t>
      </w:r>
      <w:r>
        <w:rPr>
          <w:rFonts w:hint="eastAsia" w:ascii="微软雅黑" w:hAnsi="微软雅黑" w:eastAsia="微软雅黑" w:cs="微软雅黑"/>
          <w:b w:val="0"/>
          <w:bCs w:val="0"/>
          <w:color w:val="3B3838" w:themeColor="background2" w:themeShade="40"/>
          <w:sz w:val="20"/>
          <w:szCs w:val="20"/>
          <w:lang w:eastAsia="zh-CN"/>
        </w:rPr>
        <w:t>维护</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1）为了保持蓝魔方游戏装备的最佳外观和使用寿命，必须定期进行常规检查，以检测是否有任何破坏行为、鞋印或其他损坏，以防止它们扩大。</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2）紧固件的维护，这点特别重要。随着时间推移，一些螺栓会因为频繁使用或摇晃变的松动。松动的部件会造成夹伤、撞伤、或尖锐处刺伤等危险情况。所以确保经常检查所有的螺丝螺栓和螺母非常重要。</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3）产品表面应始终保持清洁，避免任何可见的异物，如垃圾、树叶、树皮、沙子、泥巴等。如果树叶或任何其他有机碎屑长时间覆盖该区域，可能会导致腐烂并导致黑点、藻类、苔藓、杂草或真菌，也可能降低防滑功能并影响排水能力。根据使用水平、位置和周围条件，建议每天、每周或每月清扫表面。在维护检查期间，还建议检查形状、装备基脚、边缘和关键连接部分。</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4）每年至少一次，必须使用压力清洗机清洁该区域，设置最大压强50帕，清洗距离约1米，以恢复材料的疏松度和良好性能。</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5）在有苔藓或藻类等带有风险的区域，在检测时使用刷子或电动清洗机强力冲洗以避免孢子萌发以避免日后更难处理。对于苔藓，预防比处理更有效方便，确保该区域的良好排水，特别是阴暗区域或边角区域。</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 xml:space="preserve">6）大多数污渍可用热水去除。不要使用任何清洁剂、溶剂、漂白剂等清洁表面，因为这可能损坏表面并使质保失效。              </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7）如果您对蓝魔方装备产品有任何疑问，请随时联系我们。</w:t>
      </w:r>
    </w:p>
    <w:p>
      <w:pPr>
        <w:pStyle w:val="15"/>
        <w:rPr>
          <w:rFonts w:hint="eastAsia" w:ascii="微软雅黑" w:hAnsi="微软雅黑" w:eastAsia="微软雅黑" w:cs="微软雅黑"/>
          <w:b w:val="0"/>
          <w:bCs w:val="0"/>
          <w:color w:val="3B3838" w:themeColor="background2" w:themeShade="40"/>
          <w:sz w:val="20"/>
          <w:szCs w:val="20"/>
          <w:lang w:eastAsia="zh-CN"/>
        </w:rPr>
      </w:pPr>
      <w:r>
        <w:rPr>
          <w:rFonts w:hint="eastAsia" w:ascii="微软雅黑" w:hAnsi="微软雅黑" w:eastAsia="微软雅黑" w:cs="微软雅黑"/>
          <w:b w:val="0"/>
          <w:bCs w:val="0"/>
          <w:color w:val="3B3838" w:themeColor="background2" w:themeShade="40"/>
          <w:sz w:val="20"/>
          <w:szCs w:val="20"/>
          <w:lang w:val="en-US" w:eastAsia="zh-CN"/>
        </w:rPr>
        <w:t>3.</w:t>
      </w:r>
      <w:r>
        <w:rPr>
          <w:rFonts w:hint="eastAsia" w:ascii="微软雅黑" w:hAnsi="微软雅黑" w:eastAsia="微软雅黑" w:cs="微软雅黑"/>
          <w:b w:val="0"/>
          <w:bCs w:val="0"/>
          <w:color w:val="3B3838" w:themeColor="background2" w:themeShade="40"/>
          <w:sz w:val="20"/>
          <w:szCs w:val="20"/>
          <w:lang w:eastAsia="zh-CN"/>
        </w:rPr>
        <w:t>修理</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1）由破坏、涂鸦、火灾、刺穿痕迹或其他意外损坏造成的损坏一般都很容易修复，具体详见检查维修附表。</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2）我们始终建议对受损区域进行不同颜色的维修，以便能辨识此处为维修处理过。</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3）如果亲水台表面和硬边之间出现缝隙导致渗水，可以用柔性密封剂填充。</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4）原质部件的损坏，具体详见检查维修附表。</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5</w:t>
      </w:r>
      <w:bookmarkStart w:id="0" w:name="_GoBack"/>
      <w:bookmarkEnd w:id="0"/>
      <w:r>
        <w:rPr>
          <w:rFonts w:hint="eastAsia" w:ascii="微软雅黑" w:hAnsi="微软雅黑" w:eastAsia="微软雅黑" w:cs="微软雅黑"/>
          <w:b w:val="0"/>
          <w:bCs w:val="0"/>
          <w:color w:val="3B3838" w:themeColor="background2" w:themeShade="40"/>
          <w:sz w:val="20"/>
          <w:szCs w:val="20"/>
          <w:lang w:val="en-US" w:eastAsia="zh-CN"/>
        </w:rPr>
        <w:t>）所有维修工作都应由专业人员进行。</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4.</w:t>
      </w:r>
      <w:r>
        <w:rPr>
          <w:rFonts w:hint="eastAsia" w:ascii="微软雅黑" w:hAnsi="微软雅黑" w:eastAsia="微软雅黑" w:cs="微软雅黑"/>
          <w:b w:val="0"/>
          <w:bCs w:val="0"/>
          <w:color w:val="3B3838" w:themeColor="background2" w:themeShade="40"/>
          <w:sz w:val="20"/>
          <w:szCs w:val="20"/>
          <w:lang w:eastAsia="zh-CN"/>
        </w:rPr>
        <w:t xml:space="preserve">保养 </w:t>
      </w:r>
    </w:p>
    <w:p>
      <w:pPr>
        <w:pStyle w:val="12"/>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1）木材表面的保养建议按每年保养一次，具体清理木材表面的污渍后用砂纸将木材表面打磨均匀，再用清水或中性洗涤剂擦洗表面，干燥后用木蜡油对木材表面做好保护处理，来增强其表面的防水防污性能。</w:t>
      </w:r>
    </w:p>
    <w:p>
      <w:pPr>
        <w:pStyle w:val="12"/>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2）不锈钢或铁件表面的保养建议按每年保养一次，具体用柔软的布擦干净后用清水或中性洗涤剂清洗。清洗不锈钢表面时必须注意不发生表面划伤现象，避免使用漂白成份以及研磨剂的洗涤液、钢丝球、研磨工具等，为除掉洗涤液，洗涤结束时用清水冲洗表面。</w:t>
      </w: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11"/>
        <w:rPr>
          <w:rFonts w:hint="eastAsia" w:ascii="微软雅黑" w:hAnsi="微软雅黑" w:eastAsia="微软雅黑" w:cs="微软雅黑"/>
          <w:sz w:val="24"/>
          <w:szCs w:val="24"/>
          <w:lang w:val="en-US" w:eastAsia="zh-CN"/>
        </w:rPr>
      </w:pPr>
    </w:p>
    <w:p>
      <w:pPr>
        <w:pStyle w:val="2"/>
        <w:bidi w:val="0"/>
        <w:rPr>
          <w:rFonts w:hint="eastAsia" w:ascii="微软雅黑" w:hAnsi="微软雅黑" w:eastAsia="微软雅黑" w:cs="微软雅黑"/>
          <w:sz w:val="24"/>
          <w:szCs w:val="24"/>
          <w:lang w:eastAsia="zh-CN"/>
        </w:rPr>
      </w:pPr>
      <w:r>
        <w:rPr>
          <w:rFonts w:hint="eastAsia" w:ascii="微软雅黑" w:hAnsi="微软雅黑" w:eastAsia="微软雅黑" w:cs="微软雅黑"/>
          <w:sz w:val="24"/>
          <w:szCs w:val="24"/>
          <w:lang w:val="en-US" w:eastAsia="zh-CN"/>
        </w:rPr>
        <w:t>五、检查与维修</w:t>
      </w: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01"/>
        <w:gridCol w:w="3175"/>
        <w:gridCol w:w="3175"/>
        <w:gridCol w:w="493"/>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39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sz w:val="20"/>
                <w:szCs w:val="20"/>
                <w:lang w:eastAsia="zh-CN"/>
              </w:rPr>
            </w:pPr>
            <w:r>
              <w:rPr>
                <w:rStyle w:val="19"/>
                <w:rFonts w:hint="eastAsia" w:ascii="微软雅黑" w:hAnsi="微软雅黑" w:eastAsia="微软雅黑" w:cs="微软雅黑"/>
                <w:sz w:val="20"/>
                <w:szCs w:val="20"/>
                <w:lang w:eastAsia="zh-CN"/>
              </w:rPr>
              <w:t>重要!</w:t>
            </w:r>
            <w:r>
              <w:rPr>
                <w:rFonts w:hint="eastAsia" w:ascii="微软雅黑" w:hAnsi="微软雅黑" w:eastAsia="微软雅黑" w:cs="微软雅黑"/>
                <w:sz w:val="20"/>
                <w:szCs w:val="20"/>
                <w:lang w:eastAsia="zh-CN"/>
              </w:rPr>
              <w:t xml:space="preserve"> 检查时应严格按照此说明书和具体产品的安装说明进行。除此之外，产品系列也提供通用指导可以借鉴。</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20"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keepNext w:val="0"/>
              <w:keepLines w:val="0"/>
              <w:pageBreakBefore w:val="0"/>
              <w:widowControl/>
              <w:kinsoku/>
              <w:wordWrap/>
              <w:overflowPunct/>
              <w:topLinePunct w:val="0"/>
              <w:autoSpaceDE/>
              <w:autoSpaceDN/>
              <w:bidi w:val="0"/>
              <w:adjustRightInd/>
              <w:snapToGrid/>
              <w:spacing w:line="15" w:lineRule="auto"/>
              <w:jc w:val="left"/>
              <w:textAlignment w:val="auto"/>
              <w:rPr>
                <w:rStyle w:val="19"/>
                <w:rFonts w:hint="eastAsia" w:ascii="微软雅黑" w:hAnsi="微软雅黑" w:eastAsia="微软雅黑" w:cs="微软雅黑"/>
                <w:b w:val="0"/>
                <w:sz w:val="20"/>
                <w:szCs w:val="20"/>
              </w:rPr>
            </w:pPr>
            <w:r>
              <w:rPr>
                <w:rStyle w:val="19"/>
                <w:rFonts w:hint="eastAsia" w:ascii="微软雅黑" w:hAnsi="微软雅黑" w:eastAsia="微软雅黑" w:cs="微软雅黑"/>
                <w:b/>
                <w:color w:val="3C3C3C" w:themeColor="text1" w:themeTint="D9"/>
                <w:kern w:val="2"/>
                <w:sz w:val="21"/>
                <w:szCs w:val="21"/>
                <w:lang w:val="en-US" w:eastAsia="zh-CN" w:bidi="ar-SA"/>
                <w14:textFill>
                  <w14:solidFill>
                    <w14:schemeClr w14:val="tx1">
                      <w14:lumMod w14:val="85000"/>
                      <w14:lumOff w14:val="15000"/>
                      <w14:lumMod w14:val="85000"/>
                      <w14:lumOff w14:val="15000"/>
                      <w14:lumMod w14:val="85000"/>
                    </w14:schemeClr>
                  </w14:solidFill>
                </w14:textFill>
              </w:rPr>
              <w:t>表1</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227" w:hRule="atLeast"/>
        </w:trPr>
        <w:tc>
          <w:tcPr>
            <w:tcW w:w="9638" w:type="dxa"/>
            <w:gridSpan w:val="8"/>
            <w:tcBorders>
              <w:top w:val="nil"/>
              <w:left w:val="single" w:color="auto" w:sz="4" w:space="0"/>
              <w:bottom w:val="single" w:color="auto" w:sz="4" w:space="0"/>
              <w:right w:val="single" w:color="auto" w:sz="4" w:space="0"/>
            </w:tcBorders>
            <w:shd w:val="clear" w:color="auto" w:fill="3F3F3F" w:themeFill="text1" w:themeFillTint="BF"/>
            <w:tcMar>
              <w:top w:w="68" w:type="dxa"/>
              <w:left w:w="68" w:type="dxa"/>
              <w:bottom w:w="68" w:type="dxa"/>
              <w:right w:w="68" w:type="dxa"/>
            </w:tcMar>
          </w:tcPr>
          <w:p>
            <w:pPr>
              <w:pStyle w:val="22"/>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概览</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区域</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检查</w:t>
            </w:r>
          </w:p>
        </w:tc>
        <w:tc>
          <w:tcPr>
            <w:tcW w:w="3175"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t>维修</w:t>
            </w:r>
          </w:p>
        </w:tc>
        <w:tc>
          <w:tcPr>
            <w:tcW w:w="493" w:type="dxa"/>
            <w:tcBorders>
              <w:top w:val="single" w:color="auto" w:sz="4" w:space="0"/>
              <w:left w:val="nil"/>
              <w:bottom w:val="nil"/>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single" w:color="auto" w:sz="4" w:space="0"/>
              <w:left w:val="nil"/>
              <w:bottom w:val="nil"/>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清洁度</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检查外观。</w:t>
            </w:r>
          </w:p>
        </w:tc>
        <w:tc>
          <w:tcPr>
            <w:tcW w:w="3175"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去掉产品上沙土、灰尘。</w:t>
            </w:r>
          </w:p>
        </w:tc>
        <w:tc>
          <w:tcPr>
            <w:tcW w:w="493" w:type="dxa"/>
            <w:tcBorders>
              <w:top w:val="single" w:color="AEAAAA" w:themeColor="background2" w:themeShade="BF" w:sz="4"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tcBorders>
              <w:top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损坏/缺失部件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检查破损、松动、或者缺失部件。</w:t>
            </w:r>
          </w:p>
        </w:tc>
        <w:tc>
          <w:tcPr>
            <w:tcW w:w="3175"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如有必要更换或紧固。</w:t>
            </w:r>
          </w:p>
        </w:tc>
        <w:tc>
          <w:tcPr>
            <w:tcW w:w="493"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90" w:hRule="atLeast"/>
        </w:trPr>
        <w:tc>
          <w:tcPr>
            <w:tcW w:w="1301"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连接件</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检查是否所有螺丝螺栓都紧固。</w:t>
            </w:r>
          </w:p>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检查铆钉没有破损和松动。</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如有必要，紧固连接件或用新的零件替换。按照规定，以固定的扭矩安装产品。</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活动部件</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检查活动部分是否工作正常。</w:t>
            </w:r>
          </w:p>
        </w:tc>
        <w:tc>
          <w:tcPr>
            <w:tcW w:w="3175"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如有必要请更换。</w:t>
            </w:r>
          </w:p>
        </w:tc>
        <w:tc>
          <w:tcPr>
            <w:tcW w:w="493"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检查防护层是否受到损害。</w:t>
            </w:r>
          </w:p>
        </w:tc>
        <w:tc>
          <w:tcPr>
            <w:tcW w:w="3175"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如有必要</w:t>
            </w:r>
            <w:r>
              <w:rPr>
                <w:rFonts w:hint="eastAsia" w:ascii="微软雅黑" w:hAnsi="微软雅黑" w:eastAsia="微软雅黑" w:cs="微软雅黑"/>
                <w:sz w:val="16"/>
                <w:szCs w:val="16"/>
                <w:lang w:eastAsia="zh-CN"/>
              </w:rPr>
              <w:t>请</w:t>
            </w:r>
            <w:r>
              <w:rPr>
                <w:rFonts w:hint="eastAsia" w:ascii="微软雅黑" w:hAnsi="微软雅黑" w:eastAsia="微软雅黑" w:cs="微软雅黑"/>
                <w:sz w:val="16"/>
                <w:szCs w:val="16"/>
              </w:rPr>
              <w:t>更换。</w:t>
            </w:r>
          </w:p>
        </w:tc>
        <w:tc>
          <w:tcPr>
            <w:tcW w:w="493" w:type="dxa"/>
            <w:tcBorders>
              <w:top w:val="single" w:color="AEAAAA" w:themeColor="background2" w:themeShade="BF" w:sz="6" w:space="0"/>
              <w:bottom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rPr>
            </w:pP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8322" w:type="dxa"/>
            <w:gridSpan w:val="6"/>
            <w:tcBorders>
              <w:top w:val="single" w:color="AEAAAA" w:themeColor="background2" w:themeShade="BF" w:sz="6" w:space="0"/>
              <w:bottom w:val="single" w:color="AEAAAA" w:themeColor="background2" w:themeShade="BF" w:sz="4" w:space="0"/>
            </w:tcBorders>
            <w:shd w:val="clear" w:color="auto" w:fill="FFFFFF"/>
            <w:tcMar>
              <w:top w:w="68" w:type="dxa"/>
              <w:left w:w="68" w:type="dxa"/>
              <w:bottom w:w="68" w:type="dxa"/>
              <w:right w:w="68" w:type="dxa"/>
            </w:tcMar>
          </w:tcPr>
          <w:p>
            <w:pPr>
              <w:pStyle w:val="21"/>
              <w:rPr>
                <w:rFonts w:hint="eastAsia" w:ascii="微软雅黑" w:hAnsi="微软雅黑" w:eastAsia="微软雅黑" w:cs="微软雅黑"/>
                <w:sz w:val="16"/>
                <w:szCs w:val="16"/>
              </w:rPr>
            </w:pPr>
            <w:r>
              <w:rPr>
                <w:rFonts w:hint="eastAsia" w:ascii="微软雅黑" w:hAnsi="微软雅黑" w:eastAsia="微软雅黑" w:cs="微软雅黑"/>
                <w:sz w:val="16"/>
                <w:szCs w:val="16"/>
              </w:rPr>
              <w:t>活动部件</w:t>
            </w:r>
            <w:r>
              <w:rPr>
                <w:rFonts w:hint="eastAsia" w:ascii="微软雅黑" w:hAnsi="微软雅黑" w:eastAsia="微软雅黑" w:cs="微软雅黑"/>
                <w:sz w:val="16"/>
                <w:szCs w:val="16"/>
                <w:lang w:eastAsia="zh-CN"/>
              </w:rPr>
              <w:t>示例：</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手压井阀压杆</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磨损超过50%进行更换 、出现断裂或者其他损毁表现进行更换。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01" w:type="dxa"/>
            <w:vMerge w:val="continue"/>
            <w:vAlign w:val="center"/>
          </w:tcPr>
          <w:p>
            <w:pPr>
              <w:pStyle w:val="18"/>
              <w:jc w:val="left"/>
              <w:rPr>
                <w:rFonts w:hint="eastAsia" w:ascii="微软雅黑" w:hAnsi="微软雅黑" w:eastAsia="微软雅黑" w:cs="微软雅黑"/>
                <w:sz w:val="16"/>
                <w:szCs w:val="16"/>
                <w:lang w:val="da-DK"/>
              </w:rPr>
            </w:pP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橡胶部件</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橡胶活塞或垫圈破损或缺失时，应进行重装或更换。</w:t>
            </w:r>
          </w:p>
        </w:tc>
        <w:tc>
          <w:tcPr>
            <w:tcW w:w="493"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restart"/>
            <w:vAlign w:val="center"/>
          </w:tcPr>
          <w:p>
            <w:pPr>
              <w:pStyle w:val="18"/>
              <w:jc w:val="left"/>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供水部件</w:t>
            </w:r>
          </w:p>
        </w:tc>
        <w:tc>
          <w:tcPr>
            <w:tcW w:w="3175" w:type="dxa"/>
            <w:vAlign w:val="cente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水管</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水管破裂或漏水，应进行维修或更换</w:t>
            </w:r>
          </w:p>
        </w:tc>
        <w:tc>
          <w:tcPr>
            <w:tcW w:w="493" w:type="dxa"/>
            <w:shd w:val="clear" w:color="auto" w:fill="FFFFFF"/>
            <w:vAlign w:val="center"/>
          </w:tcPr>
          <w:p>
            <w:pPr>
              <w:pStyle w:val="18"/>
              <w:jc w:val="center"/>
              <w:rPr>
                <w:rFonts w:hint="eastAsia" w:ascii="微软雅黑" w:hAnsi="微软雅黑" w:eastAsia="微软雅黑" w:cs="微软雅黑"/>
                <w:color w:val="3C3C3C" w:themeColor="text1" w:themeTint="D9"/>
                <w:kern w:val="2"/>
                <w:sz w:val="16"/>
                <w:szCs w:val="16"/>
                <w:lang w:val="en-US" w:eastAsia="zh-CN" w:bidi="ar-SA"/>
                <w14:textFill>
                  <w14:solidFill>
                    <w14:schemeClr w14:val="tx1">
                      <w14:lumMod w14:val="85000"/>
                      <w14:lumOff w14:val="15000"/>
                      <w14:lumMod w14:val="85000"/>
                      <w14:lumOff w14:val="15000"/>
                      <w14:lumMod w14:val="85000"/>
                    </w14:schemeClr>
                  </w14:solidFill>
                </w14:textFill>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eastAsia="zh-CN"/>
              </w:rPr>
            </w:pPr>
          </w:p>
        </w:tc>
        <w:tc>
          <w:tcPr>
            <w:tcW w:w="3175" w:type="dxa"/>
            <w:vAlign w:val="cente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水管接头</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破裂或漏水，应进行维修或更换</w:t>
            </w:r>
          </w:p>
        </w:tc>
        <w:tc>
          <w:tcPr>
            <w:tcW w:w="493" w:type="dxa"/>
            <w:shd w:val="clear" w:color="auto" w:fill="FFFFFF"/>
            <w:vAlign w:val="center"/>
          </w:tcPr>
          <w:p>
            <w:pPr>
              <w:pStyle w:val="18"/>
              <w:jc w:val="center"/>
              <w:rPr>
                <w:rFonts w:hint="eastAsia" w:ascii="微软雅黑" w:hAnsi="微软雅黑" w:eastAsia="微软雅黑" w:cs="微软雅黑"/>
                <w:color w:val="3C3C3C" w:themeColor="text1" w:themeTint="D9"/>
                <w:kern w:val="2"/>
                <w:sz w:val="16"/>
                <w:szCs w:val="16"/>
                <w:lang w:val="en-US" w:eastAsia="zh-CN" w:bidi="ar-SA"/>
                <w14:textFill>
                  <w14:solidFill>
                    <w14:schemeClr w14:val="tx1">
                      <w14:lumMod w14:val="85000"/>
                      <w14:lumOff w14:val="15000"/>
                      <w14:lumMod w14:val="85000"/>
                      <w14:lumOff w14:val="15000"/>
                      <w14:lumMod w14:val="85000"/>
                    </w14:schemeClr>
                  </w14:solidFill>
                </w14:textFill>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01" w:type="dxa"/>
            <w:vMerge w:val="continue"/>
            <w:vAlign w:val="center"/>
          </w:tcPr>
          <w:p>
            <w:pPr>
              <w:pStyle w:val="18"/>
              <w:jc w:val="left"/>
              <w:rPr>
                <w:rFonts w:hint="eastAsia" w:ascii="微软雅黑" w:hAnsi="微软雅黑" w:eastAsia="微软雅黑" w:cs="微软雅黑"/>
                <w:sz w:val="16"/>
                <w:szCs w:val="16"/>
                <w:lang w:val="da-DK" w:eastAsia="zh-CN"/>
              </w:rPr>
            </w:pPr>
          </w:p>
        </w:tc>
        <w:tc>
          <w:tcPr>
            <w:tcW w:w="3175" w:type="dxa"/>
            <w:vAlign w:val="center"/>
          </w:tcPr>
          <w:p>
            <w:pPr>
              <w:pStyle w:val="18"/>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val="da-DK" w:eastAsia="zh-CN"/>
              </w:rPr>
              <w:t>水阀开关</w:t>
            </w:r>
          </w:p>
        </w:tc>
        <w:tc>
          <w:tcPr>
            <w:tcW w:w="3175" w:type="dxa"/>
            <w:shd w:val="clear" w:color="auto" w:fill="FFFFFF"/>
            <w:tcMar>
              <w:top w:w="68" w:type="dxa"/>
              <w:left w:w="68" w:type="dxa"/>
              <w:bottom w:w="68" w:type="dxa"/>
              <w:right w:w="68" w:type="dxa"/>
            </w:tcMar>
          </w:tcPr>
          <w:p>
            <w:pPr>
              <w:pStyle w:val="18"/>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破裂或漏水，应进行维修或更换</w:t>
            </w:r>
          </w:p>
        </w:tc>
        <w:tc>
          <w:tcPr>
            <w:tcW w:w="493" w:type="dxa"/>
            <w:shd w:val="clear" w:color="auto" w:fill="FFFFFF"/>
            <w:vAlign w:val="center"/>
          </w:tcPr>
          <w:p>
            <w:pPr>
              <w:pStyle w:val="18"/>
              <w:jc w:val="center"/>
              <w:rPr>
                <w:rFonts w:hint="eastAsia" w:ascii="微软雅黑" w:hAnsi="微软雅黑" w:eastAsia="微软雅黑" w:cs="微软雅黑"/>
                <w:color w:val="3C3C3C" w:themeColor="text1" w:themeTint="D9"/>
                <w:kern w:val="2"/>
                <w:sz w:val="16"/>
                <w:szCs w:val="16"/>
                <w:lang w:val="en-US" w:eastAsia="zh-CN" w:bidi="ar-SA"/>
                <w14:textFill>
                  <w14:solidFill>
                    <w14:schemeClr w14:val="tx1">
                      <w14:lumMod w14:val="85000"/>
                      <w14:lumOff w14:val="15000"/>
                      <w14:lumMod w14:val="85000"/>
                      <w14:lumOff w14:val="15000"/>
                      <w14:lumMod w14:val="85000"/>
                    </w14:schemeClr>
                  </w14:solidFill>
                </w14:textFill>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color w:val="3C3C3C" w:themeColor="text1" w:themeTint="D9"/>
                <w:kern w:val="2"/>
                <w:sz w:val="16"/>
                <w:szCs w:val="16"/>
                <w:lang w:val="da-DK" w:eastAsia="zh-CN" w:bidi="ar-SA"/>
                <w14:textFill>
                  <w14:solidFill>
                    <w14:schemeClr w14:val="tx1">
                      <w14:lumMod w14:val="85000"/>
                      <w14:lumOff w14:val="15000"/>
                      <w14:lumMod w14:val="85000"/>
                      <w14:lumOff w14:val="15000"/>
                      <w14:lumMod w14:val="85000"/>
                    </w14:schemeClr>
                  </w14:solidFill>
                </w14:textFill>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default" w:ascii="微软雅黑" w:hAnsi="微软雅黑" w:eastAsia="微软雅黑" w:cs="微软雅黑"/>
                <w:sz w:val="16"/>
                <w:szCs w:val="16"/>
                <w:lang w:val="en-US"/>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每两年进行额外的主要检查</w:t>
            </w:r>
          </w:p>
        </w:tc>
      </w:tr>
    </w:tbl>
    <w:p>
      <w:pPr>
        <w:pStyle w:val="18"/>
        <w:rPr>
          <w:rFonts w:hint="eastAsia" w:ascii="微软雅黑" w:hAnsi="微软雅黑" w:eastAsia="微软雅黑" w:cs="微软雅黑"/>
          <w:sz w:val="16"/>
          <w:szCs w:val="16"/>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p>
      <w:pPr>
        <w:pStyle w:val="2"/>
        <w:rPr>
          <w:rFonts w:hint="eastAsia"/>
          <w:sz w:val="20"/>
          <w:szCs w:val="20"/>
          <w:lang w:eastAsia="zh-CN"/>
        </w:rPr>
      </w:pPr>
    </w:p>
    <w:tbl>
      <w:tblPr>
        <w:tblStyle w:val="5"/>
        <w:tblW w:w="9638" w:type="dxa"/>
        <w:tblInd w:w="0" w:type="dxa"/>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Layout w:type="autofit"/>
        <w:tblCellMar>
          <w:top w:w="0" w:type="dxa"/>
          <w:left w:w="0" w:type="dxa"/>
          <w:bottom w:w="0" w:type="dxa"/>
          <w:right w:w="0" w:type="dxa"/>
        </w:tblCellMar>
      </w:tblPr>
      <w:tblGrid>
        <w:gridCol w:w="1345"/>
        <w:gridCol w:w="3155"/>
        <w:gridCol w:w="3153"/>
        <w:gridCol w:w="491"/>
        <w:gridCol w:w="493"/>
        <w:gridCol w:w="493"/>
        <w:gridCol w:w="493"/>
        <w:gridCol w:w="15"/>
      </w:tblGrid>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trHeight w:val="567" w:hRule="atLeast"/>
        </w:trPr>
        <w:tc>
          <w:tcPr>
            <w:tcW w:w="9638" w:type="dxa"/>
            <w:gridSpan w:val="8"/>
            <w:tcBorders>
              <w:top w:val="nil"/>
              <w:left w:val="nil"/>
              <w:bottom w:val="nil"/>
              <w:right w:val="nil"/>
            </w:tcBorders>
            <w:shd w:val="clear" w:color="auto" w:fill="auto"/>
            <w:tcMar>
              <w:top w:w="68" w:type="dxa"/>
              <w:left w:w="68" w:type="dxa"/>
              <w:bottom w:w="68" w:type="dxa"/>
              <w:right w:w="68" w:type="dxa"/>
            </w:tcMar>
            <w:vAlign w:val="center"/>
          </w:tcPr>
          <w:p>
            <w:pPr>
              <w:pStyle w:val="11"/>
              <w:rPr>
                <w:rFonts w:hint="default" w:ascii="微软雅黑" w:hAnsi="微软雅黑" w:eastAsia="微软雅黑" w:cs="微软雅黑"/>
                <w:sz w:val="21"/>
                <w:szCs w:val="21"/>
                <w:lang w:val="en-US"/>
              </w:rPr>
            </w:pPr>
            <w:r>
              <w:rPr>
                <w:rFonts w:hint="eastAsia" w:ascii="微软雅黑" w:hAnsi="微软雅黑" w:eastAsia="微软雅黑" w:cs="微软雅黑"/>
                <w:sz w:val="21"/>
                <w:szCs w:val="21"/>
                <w:lang w:eastAsia="zh-CN"/>
              </w:rPr>
              <w:t>表</w:t>
            </w:r>
            <w:r>
              <w:rPr>
                <w:rFonts w:hint="eastAsia" w:ascii="微软雅黑" w:hAnsi="微软雅黑" w:eastAsia="微软雅黑" w:cs="微软雅黑"/>
                <w:sz w:val="21"/>
                <w:szCs w:val="21"/>
                <w:lang w:val="en-US" w:eastAsia="zh-CN"/>
              </w:rPr>
              <w:t>2</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3F3F3F" w:themeFill="text1" w:themeFillTint="BF"/>
            <w:tcMar>
              <w:top w:w="68" w:type="dxa"/>
              <w:left w:w="68" w:type="dxa"/>
              <w:bottom w:w="68" w:type="dxa"/>
              <w:right w:w="68" w:type="dxa"/>
            </w:tcMar>
            <w:vAlign w:val="center"/>
          </w:tcPr>
          <w:p>
            <w:pPr>
              <w:pStyle w:val="22"/>
              <w:rPr>
                <w:rFonts w:hint="eastAsia" w:ascii="微软雅黑" w:hAnsi="微软雅黑" w:eastAsia="微软雅黑" w:cs="微软雅黑"/>
                <w:sz w:val="21"/>
                <w:szCs w:val="21"/>
                <w:lang w:val="da-DK"/>
              </w:rPr>
            </w:pPr>
            <w:r>
              <w:rPr>
                <w:rFonts w:hint="eastAsia" w:ascii="微软雅黑" w:hAnsi="微软雅黑" w:eastAsia="微软雅黑" w:cs="微软雅黑"/>
                <w:sz w:val="20"/>
                <w:szCs w:val="20"/>
                <w:lang w:val="da-DK" w:eastAsia="zh-CN"/>
              </w:rPr>
              <w:t>原木部件</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9623" w:type="dxa"/>
            <w:gridSpan w:val="7"/>
            <w:tcBorders>
              <w:top w:val="nil"/>
              <w:left w:val="nil"/>
              <w:bottom w:val="nil"/>
              <w:right w:val="nil"/>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原木部件由天然的全切木材制成，有开裂的可能。</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设计已考虑到特定范围内的裂纹、缺陷和可变尺寸。除非发生较大的裂缝或缺陷，只要结构完整仍然是可以接受的。对于蓝魔方游戏装备产品的检查和维护，除了一般维护任务外，还应执行以下事项：</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区域</w:t>
            </w:r>
          </w:p>
        </w:tc>
        <w:tc>
          <w:tcPr>
            <w:tcW w:w="3155"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检查</w:t>
            </w:r>
          </w:p>
        </w:tc>
        <w:tc>
          <w:tcPr>
            <w:tcW w:w="315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1"/>
              <w:rPr>
                <w:rFonts w:hint="eastAsia" w:ascii="微软雅黑" w:hAnsi="微软雅黑" w:eastAsia="微软雅黑" w:cs="微软雅黑"/>
                <w:color w:val="3B3838" w:themeColor="background2" w:themeShade="40"/>
                <w:sz w:val="20"/>
                <w:szCs w:val="20"/>
              </w:rPr>
            </w:pPr>
            <w:r>
              <w:rPr>
                <w:rFonts w:hint="eastAsia" w:ascii="微软雅黑" w:hAnsi="微软雅黑" w:eastAsia="微软雅黑" w:cs="微软雅黑"/>
                <w:color w:val="3B3838" w:themeColor="background2" w:themeShade="40"/>
                <w:sz w:val="20"/>
                <w:szCs w:val="20"/>
              </w:rPr>
              <w:t>维修</w:t>
            </w:r>
          </w:p>
        </w:tc>
        <w:tc>
          <w:tcPr>
            <w:tcW w:w="491" w:type="dxa"/>
            <w:tcBorders>
              <w:top w:val="nil"/>
              <w:left w:val="nil"/>
              <w:bottom w:val="single" w:color="AEAAAA" w:themeColor="background2" w:themeShade="BF" w:sz="4" w:space="0"/>
              <w:right w:val="nil"/>
            </w:tcBorders>
            <w:shd w:val="clear" w:color="auto" w:fill="auto"/>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Picture 126"/>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Picture 127"/>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4" name="Picture 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 name="Picture 1024"/>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493" w:type="dxa"/>
            <w:tcBorders>
              <w:top w:val="nil"/>
              <w:left w:val="nil"/>
              <w:bottom w:val="single" w:color="AEAAAA" w:themeColor="background2" w:themeShade="BF" w:sz="4" w:space="0"/>
              <w:right w:val="nil"/>
            </w:tcBorders>
            <w:shd w:val="clear" w:color="auto" w:fill="auto"/>
            <w:tcMar>
              <w:top w:w="68" w:type="dxa"/>
              <w:left w:w="68" w:type="dxa"/>
              <w:bottom w:w="68" w:type="dxa"/>
              <w:right w:w="68" w:type="dxa"/>
            </w:tcMar>
            <w:vAlign w:val="center"/>
          </w:tcPr>
          <w:p>
            <w:pPr>
              <w:pStyle w:val="23"/>
              <w:jc w:val="center"/>
              <w:rPr>
                <w:rFonts w:hint="eastAsia" w:ascii="微软雅黑" w:hAnsi="微软雅黑" w:eastAsia="微软雅黑" w:cs="微软雅黑"/>
                <w:sz w:val="20"/>
                <w:szCs w:val="20"/>
              </w:rPr>
            </w:pPr>
            <w:r>
              <w:rPr>
                <w:rFonts w:hint="eastAsia" w:ascii="微软雅黑" w:hAnsi="微软雅黑" w:eastAsia="微软雅黑" w:cs="微软雅黑"/>
                <w:sz w:val="20"/>
                <w:szCs w:val="20"/>
                <w:lang w:eastAsia="zh-CN"/>
              </w:rPr>
              <w:drawing>
                <wp:inline distT="0" distB="0" distL="0" distR="0">
                  <wp:extent cx="182880" cy="182880"/>
                  <wp:effectExtent l="0" t="0" r="7620" b="7620"/>
                  <wp:docPr id="1025" name="Picture 1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0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70" w:hRule="atLeast"/>
        </w:trPr>
        <w:tc>
          <w:tcPr>
            <w:tcW w:w="1345"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rPr>
              <w:t>检查开裂</w:t>
            </w:r>
          </w:p>
        </w:tc>
        <w:tc>
          <w:tcPr>
            <w:tcW w:w="8278" w:type="dxa"/>
            <w:gridSpan w:val="6"/>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auto"/>
            <w:tcMar>
              <w:top w:w="68" w:type="dxa"/>
              <w:left w:w="68" w:type="dxa"/>
              <w:bottom w:w="68" w:type="dxa"/>
              <w:right w:w="68" w:type="dxa"/>
            </w:tcMar>
            <w:vAlign w:val="cente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检查是否有开裂现象。</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较大的开裂导致螺栓或其他部件无法紧固。</w:t>
            </w:r>
          </w:p>
        </w:tc>
        <w:tc>
          <w:tcPr>
            <w:tcW w:w="3153" w:type="dxa"/>
            <w:vMerge w:val="restart"/>
            <w:tcBorders>
              <w:top w:val="single" w:color="AEAAAA" w:themeColor="background2" w:themeShade="BF" w:sz="4" w:space="0"/>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拍摄现场照片，寻求当地经销商进行相关指导。</w:t>
            </w: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454" w:hRule="atLeast"/>
        </w:trPr>
        <w:tc>
          <w:tcPr>
            <w:tcW w:w="1345" w:type="dxa"/>
            <w:vMerge w:val="continue"/>
            <w:tcBorders>
              <w:left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开裂程度导致违反安全标准。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滑梯和其他受力运动区域附近的裂缝。</w:t>
            </w:r>
          </w:p>
        </w:tc>
        <w:tc>
          <w:tcPr>
            <w:tcW w:w="3153" w:type="dxa"/>
            <w:vMerge w:val="continue"/>
            <w:tcBorders>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p>
        </w:tc>
        <w:tc>
          <w:tcPr>
            <w:tcW w:w="491"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left w:val="single" w:color="AEAAAA" w:themeColor="background2" w:themeShade="BF" w:sz="4" w:space="0"/>
              <w:bottom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247" w:hRule="atLeast"/>
        </w:trPr>
        <w:tc>
          <w:tcPr>
            <w:tcW w:w="1345" w:type="dxa"/>
            <w:vMerge w:val="continue"/>
            <w:tcBorders>
              <w:left w:val="single" w:color="AEAAAA" w:themeColor="background2" w:themeShade="BF" w:sz="4" w:space="0"/>
              <w:right w:val="single" w:color="AEAAAA" w:themeColor="background2" w:themeShade="BF" w:sz="4" w:space="0"/>
            </w:tcBorders>
            <w:vAlign w:val="center"/>
          </w:tcPr>
          <w:p>
            <w:pPr>
              <w:pStyle w:val="18"/>
              <w:jc w:val="left"/>
              <w:rPr>
                <w:rFonts w:hint="eastAsia" w:ascii="微软雅黑" w:hAnsi="微软雅黑" w:eastAsia="微软雅黑" w:cs="微软雅黑"/>
                <w:color w:val="3B3838" w:themeColor="background2" w:themeShade="40"/>
                <w:sz w:val="16"/>
                <w:szCs w:val="16"/>
              </w:rPr>
            </w:pPr>
          </w:p>
        </w:tc>
        <w:tc>
          <w:tcPr>
            <w:tcW w:w="3155" w:type="dxa"/>
            <w:tcBorders>
              <w:top w:val="single" w:color="AEAAAA" w:themeColor="background2" w:themeShade="BF" w:sz="4" w:space="0"/>
              <w:left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不影响结构完整性或安全性的小裂缝。</w:t>
            </w:r>
          </w:p>
        </w:tc>
        <w:tc>
          <w:tcPr>
            <w:tcW w:w="3153" w:type="dxa"/>
            <w:tcBorders>
              <w:top w:val="single" w:color="AEAAAA" w:themeColor="background2" w:themeShade="BF" w:sz="4"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用砂纸打磨边缘，防止粗糙表面和锐边。</w:t>
            </w:r>
          </w:p>
          <w:p>
            <w:pPr>
              <w:pStyle w:val="18"/>
              <w:rPr>
                <w:rFonts w:hint="eastAsia" w:ascii="微软雅黑" w:hAnsi="微软雅黑" w:eastAsia="微软雅黑" w:cs="微软雅黑"/>
                <w:color w:val="3B3838" w:themeColor="background2" w:themeShade="40"/>
                <w:sz w:val="16"/>
                <w:szCs w:val="16"/>
                <w:lang w:val="da-DK" w:eastAsia="zh-CN"/>
              </w:rPr>
            </w:pPr>
            <w:r>
              <w:rPr>
                <w:rFonts w:hint="eastAsia" w:ascii="微软雅黑" w:hAnsi="微软雅黑" w:eastAsia="微软雅黑" w:cs="微软雅黑"/>
                <w:color w:val="3B3838" w:themeColor="background2" w:themeShade="40"/>
                <w:sz w:val="16"/>
                <w:szCs w:val="16"/>
                <w:lang w:val="da-DK" w:eastAsia="zh-CN"/>
              </w:rPr>
              <w:t>如果影响美观，可以使用我们的修理包来处理裂纹。向当地经销商征求意见。</w:t>
            </w:r>
          </w:p>
        </w:tc>
        <w:tc>
          <w:tcPr>
            <w:tcW w:w="491" w:type="dxa"/>
            <w:tcBorders>
              <w:top w:val="single" w:color="AEAAAA" w:themeColor="background2" w:themeShade="BF" w:sz="4" w:space="0"/>
            </w:tcBorders>
            <w:shd w:val="clear" w:color="auto" w:fill="FFFFFF"/>
            <w:vAlign w:val="center"/>
          </w:tcPr>
          <w:p>
            <w:pPr>
              <w:pStyle w:val="18"/>
              <w:jc w:val="center"/>
              <w:rPr>
                <w:rFonts w:hint="eastAsia" w:ascii="微软雅黑" w:hAnsi="微软雅黑" w:eastAsia="微软雅黑" w:cs="微软雅黑"/>
                <w:sz w:val="16"/>
                <w:szCs w:val="16"/>
                <w:lang w:val="da-DK" w:eastAsia="zh-CN"/>
              </w:rPr>
            </w:pP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tcBorders>
              <w:top w:val="single" w:color="AEAAAA" w:themeColor="background2" w:themeShade="BF" w:sz="4"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227" w:hRule="atLeast"/>
        </w:trPr>
        <w:tc>
          <w:tcPr>
            <w:tcW w:w="1345" w:type="dxa"/>
            <w:vMerge w:val="restart"/>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rPr>
              <w:t>腐烂</w:t>
            </w:r>
          </w:p>
        </w:tc>
        <w:tc>
          <w:tcPr>
            <w:tcW w:w="8278" w:type="dxa"/>
            <w:gridSpan w:val="6"/>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用锥子或小螺丝刀等尖头工具检查木材是否变质。</w:t>
            </w: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eastAsia="zh-CN"/>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结构部分</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更换部件。</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请与当地经销商联系以获取建议。</w:t>
            </w:r>
          </w:p>
        </w:tc>
        <w:tc>
          <w:tcPr>
            <w:tcW w:w="491" w:type="dxa"/>
            <w:shd w:val="clear" w:color="auto" w:fill="FFFFFF"/>
            <w:vAlign w:val="center"/>
          </w:tcPr>
          <w:p>
            <w:pPr>
              <w:pStyle w:val="18"/>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567" w:hRule="atLeast"/>
        </w:trPr>
        <w:tc>
          <w:tcPr>
            <w:tcW w:w="1345" w:type="dxa"/>
            <w:vMerge w:val="continue"/>
            <w:vAlign w:val="center"/>
          </w:tcPr>
          <w:p>
            <w:pPr>
              <w:pStyle w:val="18"/>
              <w:jc w:val="left"/>
              <w:rPr>
                <w:rFonts w:hint="eastAsia" w:ascii="微软雅黑" w:hAnsi="微软雅黑" w:eastAsia="微软雅黑" w:cs="微软雅黑"/>
                <w:color w:val="3B3838" w:themeColor="background2" w:themeShade="40"/>
                <w:sz w:val="16"/>
                <w:szCs w:val="16"/>
                <w:lang w:val="da-DK"/>
              </w:rPr>
            </w:pP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 xml:space="preserve">非结构部分和端部              </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超过30%的横截面发生100 mm长度或超过100mm长度的腐烂变质</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如有需要质保期内可更换部件。</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1077"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eastAsia="zh-CN"/>
              </w:rPr>
              <w:t>结头</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结头脱落</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使用修理包修理结头。</w:t>
            </w:r>
          </w:p>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未处理的结头可能会造成木头腐烂变质。由结头引起的变质不享受质保。</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bCs/>
                <w:color w:val="474747" w:themeColor="text1" w:themeTint="D9"/>
                <w:kern w:val="24"/>
                <w:sz w:val="16"/>
                <w:szCs w:val="16"/>
                <w14:textFill>
                  <w14:solidFill>
                    <w14:schemeClr w14:val="tx1">
                      <w14:lumMod w14:val="85000"/>
                      <w14:lumOff w14:val="15000"/>
                      <w14:lumMod w14:val="85000"/>
                      <w14:lumOff w14:val="15000"/>
                    </w14:schemeClr>
                  </w14:solidFill>
                </w14:textFill>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jc w:val="left"/>
              <w:rPr>
                <w:rFonts w:hint="eastAsia" w:ascii="微软雅黑" w:hAnsi="微软雅黑" w:eastAsia="微软雅黑" w:cs="微软雅黑"/>
                <w:color w:val="3B3838" w:themeColor="background2" w:themeShade="40"/>
                <w:sz w:val="16"/>
                <w:szCs w:val="16"/>
                <w:lang w:val="da-DK"/>
              </w:rPr>
            </w:pPr>
            <w:r>
              <w:rPr>
                <w:rFonts w:hint="eastAsia" w:ascii="微软雅黑" w:hAnsi="微软雅黑" w:eastAsia="微软雅黑" w:cs="微软雅黑"/>
                <w:color w:val="3B3838" w:themeColor="background2" w:themeShade="40"/>
                <w:sz w:val="16"/>
                <w:szCs w:val="16"/>
                <w:lang w:val="da-DK" w:eastAsia="zh-CN"/>
              </w:rPr>
              <w:t>清理</w:t>
            </w:r>
          </w:p>
        </w:tc>
        <w:tc>
          <w:tcPr>
            <w:tcW w:w="3155"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产品表面</w:t>
            </w:r>
          </w:p>
        </w:tc>
        <w:tc>
          <w:tcPr>
            <w:tcW w:w="3153" w:type="dxa"/>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使用毛刷清除污垢、藻类或霉菌。</w:t>
            </w:r>
          </w:p>
        </w:tc>
        <w:tc>
          <w:tcPr>
            <w:tcW w:w="491" w:type="dxa"/>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val="da-DK"/>
              </w:rPr>
            </w:pPr>
          </w:p>
        </w:tc>
      </w:tr>
      <w:tr>
        <w:tblPrEx>
          <w:tblBorders>
            <w:top w:val="single" w:color="AEAAAA" w:themeColor="background2" w:themeShade="BF" w:sz="4" w:space="0"/>
            <w:left w:val="single" w:color="AEAAAA" w:themeColor="background2" w:themeShade="BF" w:sz="4" w:space="0"/>
            <w:bottom w:val="single" w:color="AEAAAA" w:themeColor="background2" w:themeShade="BF" w:sz="4" w:space="0"/>
            <w:right w:val="single" w:color="AEAAAA" w:themeColor="background2" w:themeShade="BF" w:sz="4" w:space="0"/>
            <w:insideH w:val="single" w:color="AEAAAA" w:themeColor="background2" w:themeShade="BF" w:sz="6" w:space="0"/>
            <w:insideV w:val="single" w:color="AEAAAA" w:themeColor="background2" w:themeShade="BF" w:sz="6" w:space="0"/>
          </w:tblBorders>
          <w:tblCellMar>
            <w:top w:w="0" w:type="dxa"/>
            <w:left w:w="0" w:type="dxa"/>
            <w:bottom w:w="0" w:type="dxa"/>
            <w:right w:w="0" w:type="dxa"/>
          </w:tblCellMar>
        </w:tblPrEx>
        <w:trPr>
          <w:gridAfter w:val="1"/>
          <w:wAfter w:w="15" w:type="dxa"/>
          <w:trHeight w:val="340" w:hRule="atLeast"/>
        </w:trPr>
        <w:tc>
          <w:tcPr>
            <w:tcW w:w="1345" w:type="dxa"/>
            <w:shd w:val="clear" w:color="auto" w:fill="FFFFFF"/>
            <w:tcMar>
              <w:top w:w="68" w:type="dxa"/>
              <w:left w:w="68" w:type="dxa"/>
              <w:bottom w:w="68" w:type="dxa"/>
              <w:right w:w="68" w:type="dxa"/>
            </w:tcMar>
          </w:tcPr>
          <w:p>
            <w:pPr>
              <w:pStyle w:val="18"/>
              <w:spacing w:line="480" w:lineRule="auto"/>
              <w:jc w:val="left"/>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喷涂</w:t>
            </w:r>
          </w:p>
        </w:tc>
        <w:tc>
          <w:tcPr>
            <w:tcW w:w="3155" w:type="dxa"/>
            <w:tcBorders>
              <w:bottom w:val="single" w:color="AEAAAA" w:themeColor="background2" w:themeShade="BF" w:sz="6" w:space="0"/>
            </w:tcBorders>
            <w:shd w:val="clear" w:color="auto" w:fill="FFFFFF"/>
            <w:tcMar>
              <w:top w:w="68" w:type="dxa"/>
              <w:left w:w="68" w:type="dxa"/>
              <w:bottom w:w="68" w:type="dxa"/>
              <w:right w:w="68" w:type="dxa"/>
            </w:tcMar>
          </w:tcPr>
          <w:p>
            <w:pPr>
              <w:pStyle w:val="18"/>
              <w:spacing w:line="480" w:lineRule="auto"/>
              <w:rPr>
                <w:rFonts w:hint="eastAsia" w:ascii="微软雅黑" w:hAnsi="微软雅黑" w:eastAsia="微软雅黑" w:cs="微软雅黑"/>
                <w:color w:val="3B3838" w:themeColor="background2" w:themeShade="40"/>
                <w:sz w:val="16"/>
                <w:szCs w:val="16"/>
              </w:rPr>
            </w:pPr>
            <w:r>
              <w:rPr>
                <w:rFonts w:hint="eastAsia" w:ascii="微软雅黑" w:hAnsi="微软雅黑" w:eastAsia="微软雅黑" w:cs="微软雅黑"/>
                <w:color w:val="3B3838" w:themeColor="background2" w:themeShade="40"/>
                <w:sz w:val="16"/>
                <w:szCs w:val="16"/>
                <w:lang w:eastAsia="zh-CN"/>
              </w:rPr>
              <w:t>原木的喷涂提供美观和保护作用。</w:t>
            </w:r>
          </w:p>
        </w:tc>
        <w:tc>
          <w:tcPr>
            <w:tcW w:w="3153" w:type="dxa"/>
            <w:tcBorders>
              <w:bottom w:val="single" w:color="AEAAAA" w:themeColor="background2" w:themeShade="BF" w:sz="6" w:space="0"/>
            </w:tcBorders>
            <w:shd w:val="clear" w:color="auto" w:fill="FFFFFF"/>
            <w:tcMar>
              <w:top w:w="68" w:type="dxa"/>
              <w:left w:w="68" w:type="dxa"/>
              <w:bottom w:w="68" w:type="dxa"/>
              <w:right w:w="68" w:type="dxa"/>
            </w:tcMar>
          </w:tcPr>
          <w:p>
            <w:pPr>
              <w:pStyle w:val="18"/>
              <w:rPr>
                <w:rFonts w:hint="eastAsia" w:ascii="微软雅黑" w:hAnsi="微软雅黑" w:eastAsia="微软雅黑" w:cs="微软雅黑"/>
                <w:color w:val="3B3838" w:themeColor="background2" w:themeShade="40"/>
                <w:sz w:val="16"/>
                <w:szCs w:val="16"/>
                <w:lang w:eastAsia="zh-CN"/>
              </w:rPr>
            </w:pPr>
            <w:r>
              <w:rPr>
                <w:rFonts w:hint="eastAsia" w:ascii="微软雅黑" w:hAnsi="微软雅黑" w:eastAsia="微软雅黑" w:cs="微软雅黑"/>
                <w:color w:val="3B3838" w:themeColor="background2" w:themeShade="40"/>
                <w:sz w:val="16"/>
                <w:szCs w:val="16"/>
                <w:lang w:eastAsia="zh-CN"/>
              </w:rPr>
              <w:t>我们建议按周期进行补漆以保持产品美观和使用寿命。</w:t>
            </w:r>
          </w:p>
        </w:tc>
        <w:tc>
          <w:tcPr>
            <w:tcW w:w="491" w:type="dxa"/>
            <w:tcBorders>
              <w:bottom w:val="single" w:color="AEAAAA" w:themeColor="background2" w:themeShade="BF" w:sz="6" w:space="0"/>
            </w:tcBorders>
            <w:shd w:val="clear" w:color="auto" w:fill="FFFFFF"/>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lang w:eastAsia="zh-CN"/>
              </w:rPr>
            </w:pP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rPr>
              <w:t>X</w:t>
            </w:r>
          </w:p>
        </w:tc>
        <w:tc>
          <w:tcPr>
            <w:tcW w:w="493" w:type="dxa"/>
            <w:tcBorders>
              <w:bottom w:val="single" w:color="AEAAAA" w:themeColor="background2" w:themeShade="BF" w:sz="6" w:space="0"/>
            </w:tcBorders>
            <w:shd w:val="clear" w:color="auto" w:fill="FFFFFF"/>
            <w:tcMar>
              <w:top w:w="68" w:type="dxa"/>
              <w:left w:w="68" w:type="dxa"/>
              <w:bottom w:w="68" w:type="dxa"/>
              <w:right w:w="68" w:type="dxa"/>
            </w:tcMar>
            <w:vAlign w:val="center"/>
          </w:tcPr>
          <w:p>
            <w:pPr>
              <w:pStyle w:val="18"/>
              <w:jc w:val="center"/>
              <w:rPr>
                <w:rFonts w:hint="eastAsia" w:ascii="微软雅黑" w:hAnsi="微软雅黑" w:eastAsia="微软雅黑" w:cs="微软雅黑"/>
                <w:sz w:val="16"/>
                <w:szCs w:val="16"/>
              </w:rPr>
            </w:pPr>
          </w:p>
        </w:tc>
      </w:tr>
    </w:tbl>
    <w:tbl>
      <w:tblPr>
        <w:tblStyle w:val="5"/>
        <w:tblpPr w:leftFromText="180" w:rightFromText="180" w:vertAnchor="text" w:horzAnchor="page" w:tblpX="1837" w:tblpY="184"/>
        <w:tblOverlap w:val="never"/>
        <w:tblW w:w="7602" w:type="dxa"/>
        <w:tblInd w:w="0" w:type="dxa"/>
        <w:tblLayout w:type="autofit"/>
        <w:tblCellMar>
          <w:top w:w="0" w:type="dxa"/>
          <w:left w:w="0" w:type="dxa"/>
          <w:bottom w:w="0" w:type="dxa"/>
          <w:right w:w="0" w:type="dxa"/>
        </w:tblCellMar>
      </w:tblPr>
      <w:tblGrid>
        <w:gridCol w:w="227"/>
        <w:gridCol w:w="7375"/>
      </w:tblGrid>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6"/>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lang w:val="da-DK" w:eastAsia="zh-CN"/>
              </w:rPr>
            </w:pPr>
            <w:r>
              <w:rPr>
                <w:rFonts w:hint="eastAsia" w:ascii="微软雅黑" w:hAnsi="微软雅黑" w:eastAsia="微软雅黑" w:cs="微软雅黑"/>
                <w:sz w:val="16"/>
                <w:szCs w:val="16"/>
                <w:lang w:eastAsia="zh-CN"/>
              </w:rPr>
              <w:t>每天/每周进行目测常规检查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1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7"/>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t>每1-3个月进行操作检查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1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1"/>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每年或每半年进行主要检查</w:t>
            </w:r>
          </w:p>
        </w:tc>
      </w:tr>
      <w:tr>
        <w:tblPrEx>
          <w:tblCellMar>
            <w:top w:w="0" w:type="dxa"/>
            <w:left w:w="0" w:type="dxa"/>
            <w:bottom w:w="0" w:type="dxa"/>
            <w:right w:w="0" w:type="dxa"/>
          </w:tblCellMar>
        </w:tblPrEx>
        <w:trPr>
          <w:trHeight w:val="57" w:hRule="atLeast"/>
        </w:trPr>
        <w:tc>
          <w:tcPr>
            <w:tcW w:w="227" w:type="dxa"/>
            <w:vAlign w:val="center"/>
          </w:tcPr>
          <w:p>
            <w:pPr>
              <w:pStyle w:val="18"/>
              <w:jc w:val="center"/>
              <w:rPr>
                <w:rFonts w:hint="eastAsia" w:ascii="微软雅黑" w:hAnsi="微软雅黑" w:eastAsia="微软雅黑" w:cs="微软雅黑"/>
                <w:sz w:val="16"/>
                <w:szCs w:val="16"/>
              </w:rPr>
            </w:pPr>
            <w:r>
              <w:rPr>
                <w:rFonts w:hint="eastAsia" w:ascii="微软雅黑" w:hAnsi="微软雅黑" w:eastAsia="微软雅黑" w:cs="微软雅黑"/>
                <w:sz w:val="16"/>
                <w:szCs w:val="16"/>
                <w:lang w:eastAsia="zh-CN"/>
              </w:rPr>
              <w:drawing>
                <wp:inline distT="0" distB="0" distL="0" distR="0">
                  <wp:extent cx="107950" cy="107950"/>
                  <wp:effectExtent l="0" t="0" r="6350" b="6350"/>
                  <wp:docPr id="16"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2"/>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08000" cy="108000"/>
                          </a:xfrm>
                          <a:prstGeom prst="rect">
                            <a:avLst/>
                          </a:prstGeom>
                        </pic:spPr>
                      </pic:pic>
                    </a:graphicData>
                  </a:graphic>
                </wp:inline>
              </w:drawing>
            </w:r>
          </w:p>
        </w:tc>
        <w:tc>
          <w:tcPr>
            <w:tcW w:w="7375" w:type="dxa"/>
            <w:vAlign w:val="center"/>
          </w:tcPr>
          <w:p>
            <w:pPr>
              <w:pStyle w:val="24"/>
              <w:rPr>
                <w:rFonts w:hint="eastAsia" w:ascii="微软雅黑" w:hAnsi="微软雅黑" w:eastAsia="微软雅黑" w:cs="微软雅黑"/>
                <w:sz w:val="16"/>
                <w:szCs w:val="16"/>
                <w:lang w:eastAsia="zh-CN"/>
              </w:rPr>
            </w:pPr>
            <w:r>
              <w:rPr>
                <w:rFonts w:hint="eastAsia" w:ascii="微软雅黑" w:hAnsi="微软雅黑" w:eastAsia="微软雅黑" w:cs="微软雅黑"/>
                <w:sz w:val="16"/>
                <w:szCs w:val="16"/>
                <w:lang w:eastAsia="zh-CN"/>
              </w:rPr>
              <w:t>每两年进行额外的主要检查</w:t>
            </w:r>
          </w:p>
        </w:tc>
      </w:tr>
    </w:tbl>
    <w:p>
      <w:pPr>
        <w:spacing w:after="160"/>
        <w:rPr>
          <w:rFonts w:hint="eastAsia" w:ascii="微软雅黑" w:hAnsi="微软雅黑" w:eastAsia="微软雅黑" w:cs="微软雅黑"/>
          <w:color w:val="3B3838" w:themeColor="background2" w:themeShade="40"/>
          <w:sz w:val="20"/>
          <w:szCs w:val="20"/>
          <w:lang w:eastAsia="zh-CN"/>
        </w:rPr>
      </w:pPr>
    </w:p>
    <w:p>
      <w:pPr>
        <w:pStyle w:val="2"/>
        <w:rPr>
          <w:rFonts w:hint="eastAsia"/>
          <w:lang w:val="en-US" w:eastAsia="zh-CN"/>
        </w:rPr>
      </w:pPr>
      <w:r>
        <w:rPr>
          <w:rFonts w:hint="eastAsia" w:ascii="微软雅黑" w:hAnsi="微软雅黑" w:eastAsia="微软雅黑" w:cs="微软雅黑"/>
          <w:sz w:val="21"/>
          <w:szCs w:val="21"/>
          <w:lang w:eastAsia="zh-CN"/>
        </w:rPr>
        <w:br w:type="page"/>
      </w:r>
    </w:p>
    <w:p>
      <w:pPr>
        <w:pStyle w:val="2"/>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六、产品保修</w:t>
      </w:r>
    </w:p>
    <w:p>
      <w:pPr>
        <w:pStyle w:val="12"/>
        <w:numPr>
          <w:ilvl w:val="0"/>
          <w:numId w:val="0"/>
        </w:numPr>
        <w:spacing w:after="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1.保修范围：</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在保修期内使用本产品过程中如发生以下问题，本公司予以免费维修：</w:t>
      </w:r>
    </w:p>
    <w:p>
      <w:pPr>
        <w:pStyle w:val="12"/>
        <w:numPr>
          <w:ilvl w:val="0"/>
          <w:numId w:val="3"/>
        </w:numPr>
        <w:spacing w:after="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由于产品本身存在的质量问题，如开箱发现外观破损等。</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由于在正常使用过程中产品本身的质量问题。</w:t>
      </w:r>
    </w:p>
    <w:p>
      <w:pPr>
        <w:pStyle w:val="12"/>
        <w:numPr>
          <w:ilvl w:val="0"/>
          <w:numId w:val="3"/>
        </w:numPr>
        <w:spacing w:after="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耗材配件不在保修范围内。</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2.保修期限：</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本产品保修期限为一年，自购买之日起计算（若购货发票遗失，保修期自出厂之日起计算）。</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3.超过保修范围服务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超过保修内由于以下原因导致产品发生故障，本公司予以维修，但需收取材料费：</w:t>
      </w:r>
    </w:p>
    <w:p>
      <w:pPr>
        <w:pStyle w:val="12"/>
        <w:numPr>
          <w:ilvl w:val="0"/>
          <w:numId w:val="4"/>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不按使用说明而发生的一切人为损坏。</w:t>
      </w:r>
    </w:p>
    <w:p>
      <w:pPr>
        <w:pStyle w:val="12"/>
        <w:numPr>
          <w:ilvl w:val="0"/>
          <w:numId w:val="4"/>
        </w:numPr>
        <w:spacing w:after="0"/>
        <w:ind w:leftChars="0"/>
        <w:rPr>
          <w:rFonts w:hint="default"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用户擅自维修或改装本产品。</w:t>
      </w:r>
    </w:p>
    <w:p>
      <w:pPr>
        <w:pStyle w:val="12"/>
        <w:numPr>
          <w:ilvl w:val="0"/>
          <w:numId w:val="0"/>
        </w:numPr>
        <w:spacing w:after="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4.超出保修期服务：</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超过保修期使用本产品发生故障，本公司予以维修，但需收取维修费和材料费。</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r>
        <w:rPr>
          <w:rFonts w:hint="eastAsia" w:ascii="微软雅黑" w:hAnsi="微软雅黑" w:eastAsia="微软雅黑" w:cs="微软雅黑"/>
          <w:b/>
          <w:bCs/>
          <w:color w:val="3B3838" w:themeColor="background2" w:themeShade="40"/>
          <w:sz w:val="20"/>
          <w:szCs w:val="20"/>
          <w:lang w:val="en-US" w:eastAsia="zh-CN"/>
        </w:rPr>
        <w:t>用户资料</w:t>
      </w:r>
    </w:p>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tbl>
      <w:tblPr>
        <w:tblStyle w:val="6"/>
        <w:tblW w:w="85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0"/>
        <w:gridCol w:w="3148"/>
        <w:gridCol w:w="1097"/>
        <w:gridCol w:w="3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用户姓名</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购买日期</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联系电话</w:t>
            </w:r>
          </w:p>
        </w:tc>
        <w:tc>
          <w:tcPr>
            <w:tcW w:w="3148"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c>
          <w:tcPr>
            <w:tcW w:w="1097"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联系地址</w:t>
            </w:r>
          </w:p>
        </w:tc>
        <w:tc>
          <w:tcPr>
            <w:tcW w:w="3203"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3" w:hRule="atLeast"/>
        </w:trPr>
        <w:tc>
          <w:tcPr>
            <w:tcW w:w="1150" w:type="dxa"/>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r>
              <w:rPr>
                <w:rFonts w:hint="eastAsia" w:ascii="微软雅黑" w:hAnsi="微软雅黑" w:eastAsia="微软雅黑" w:cs="微软雅黑"/>
                <w:b w:val="0"/>
                <w:bCs w:val="0"/>
                <w:color w:val="3B3838" w:themeColor="background2" w:themeShade="40"/>
                <w:sz w:val="20"/>
                <w:szCs w:val="20"/>
                <w:vertAlign w:val="baseline"/>
                <w:lang w:val="en-US" w:eastAsia="zh-CN"/>
              </w:rPr>
              <w:t>维修记录</w:t>
            </w:r>
          </w:p>
        </w:tc>
        <w:tc>
          <w:tcPr>
            <w:tcW w:w="7448" w:type="dxa"/>
            <w:gridSpan w:val="3"/>
          </w:tcPr>
          <w:p>
            <w:pPr>
              <w:pStyle w:val="12"/>
              <w:widowControl w:val="0"/>
              <w:numPr>
                <w:ilvl w:val="0"/>
                <w:numId w:val="0"/>
              </w:numPr>
              <w:spacing w:after="0" w:line="360" w:lineRule="auto"/>
              <w:jc w:val="both"/>
              <w:rPr>
                <w:rFonts w:hint="default" w:ascii="微软雅黑" w:hAnsi="微软雅黑" w:eastAsia="微软雅黑" w:cs="微软雅黑"/>
                <w:b w:val="0"/>
                <w:bCs w:val="0"/>
                <w:color w:val="3B3838" w:themeColor="background2" w:themeShade="40"/>
                <w:sz w:val="20"/>
                <w:szCs w:val="20"/>
                <w:vertAlign w:val="baseline"/>
                <w:lang w:val="en-US" w:eastAsia="zh-CN"/>
              </w:rPr>
            </w:pPr>
          </w:p>
        </w:tc>
      </w:tr>
    </w:tbl>
    <w:p>
      <w:pPr>
        <w:pStyle w:val="12"/>
        <w:numPr>
          <w:ilvl w:val="0"/>
          <w:numId w:val="0"/>
        </w:numPr>
        <w:spacing w:after="0"/>
        <w:ind w:leftChars="0"/>
        <w:rPr>
          <w:rFonts w:hint="eastAsia"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default" w:ascii="微软雅黑" w:hAnsi="微软雅黑" w:eastAsia="微软雅黑" w:cs="微软雅黑"/>
          <w:b/>
          <w:bCs/>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0"/>
          <w:szCs w:val="20"/>
          <w:lang w:val="en-US" w:eastAsia="zh-CN"/>
        </w:rPr>
      </w:pPr>
      <w:r>
        <w:rPr>
          <w:rFonts w:hint="eastAsia" w:ascii="微软雅黑" w:hAnsi="微软雅黑" w:eastAsia="微软雅黑" w:cs="微软雅黑"/>
          <w:b w:val="0"/>
          <w:bCs w:val="0"/>
          <w:color w:val="3B3838" w:themeColor="background2" w:themeShade="40"/>
          <w:sz w:val="20"/>
          <w:szCs w:val="20"/>
          <w:lang w:val="en-US" w:eastAsia="zh-CN"/>
        </w:rPr>
        <w:t>亲爱的顾客，感谢您选购本公司产品，为了使我们的产品能更好地为您服务，请在使用前务必详细阅读本说明书，并妥善保管，以便您日后维护与保养，谢谢！</w:t>
      </w:r>
    </w:p>
    <w:p>
      <w:pPr>
        <w:pStyle w:val="12"/>
        <w:numPr>
          <w:ilvl w:val="0"/>
          <w:numId w:val="0"/>
        </w:numPr>
        <w:spacing w:after="0"/>
        <w:ind w:leftChars="0"/>
        <w:rPr>
          <w:rFonts w:hint="eastAsia" w:ascii="微软雅黑" w:hAnsi="微软雅黑" w:eastAsia="微软雅黑" w:cs="微软雅黑"/>
          <w:b w:val="0"/>
          <w:bCs w:val="0"/>
          <w:color w:val="3B3838" w:themeColor="background2" w:themeShade="40"/>
          <w:sz w:val="21"/>
          <w:szCs w:val="21"/>
          <w:lang w:val="en-US" w:eastAsia="zh-CN"/>
        </w:rPr>
      </w:pPr>
    </w:p>
    <w:p>
      <w:pPr>
        <w:pStyle w:val="11"/>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警告！</w:t>
      </w:r>
    </w:p>
    <w:p>
      <w:pPr>
        <w:pStyle w:val="2"/>
        <w:rPr>
          <w:rFonts w:hint="eastAsia" w:ascii="微软雅黑" w:hAnsi="微软雅黑" w:eastAsia="微软雅黑" w:cs="微软雅黑"/>
          <w:lang w:eastAsia="zh-CN"/>
        </w:rPr>
      </w:pPr>
      <w:r>
        <w:rPr>
          <w:rFonts w:hint="eastAsia" w:ascii="微软雅黑" w:hAnsi="微软雅黑" w:eastAsia="微软雅黑" w:cs="微软雅黑"/>
          <w:lang w:eastAsia="zh-CN"/>
        </w:rPr>
        <w:t>违反产品说明书进行的操作可能使设备或周围物产生不安全性，导致游戏时身体受伤。对于这种伤害或损坏，蓝魔方将不承担相应责任。</w:t>
      </w:r>
    </w:p>
    <w:p>
      <w:pPr>
        <w:pStyle w:val="2"/>
        <w:rPr>
          <w:rFonts w:hint="eastAsia" w:ascii="微软雅黑" w:hAnsi="微软雅黑" w:eastAsia="微软雅黑" w:cs="微软雅黑"/>
          <w:lang w:val="da-DK" w:eastAsia="zh-CN"/>
        </w:rPr>
      </w:pPr>
      <w:r>
        <w:rPr>
          <w:rFonts w:hint="eastAsia" w:ascii="微软雅黑" w:hAnsi="微软雅黑" w:eastAsia="微软雅黑" w:cs="微软雅黑"/>
          <w:lang w:eastAsia="zh-CN"/>
        </w:rPr>
        <w:t>按照产品说明书进行操作对于享受蓝魔方产品质保非常必要。</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游戏装备的检查和维护应该按每日、每周、每月、每季度、每年度计划进行。如果您的装备使用频率很高或使用环境很恶劣，您应该进行更为频繁的检查维护（相对于本说明书推荐的频率）。</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偶尔会有产品零件损坏或磨损需要更换的情况发生，需及时更换零件来避免危险情况的发生。维修需要严格按照本说明书进行。您可以从蓝魔方销售团队或蓝魔方网站上获取替换部件的信息和安装说明。</w:t>
      </w:r>
    </w:p>
    <w:p>
      <w:pPr>
        <w:pStyle w:val="12"/>
        <w:rPr>
          <w:rFonts w:hint="eastAsia" w:ascii="微软雅黑" w:hAnsi="微软雅黑" w:eastAsia="微软雅黑" w:cs="微软雅黑"/>
          <w:lang w:eastAsia="zh-CN"/>
        </w:rPr>
      </w:pPr>
      <w:r>
        <w:rPr>
          <w:rFonts w:hint="eastAsia" w:ascii="微软雅黑" w:hAnsi="微软雅黑" w:eastAsia="微软雅黑" w:cs="微软雅黑"/>
          <w:lang w:eastAsia="zh-CN"/>
        </w:rPr>
        <w:t>如果维修不能及时进行，则需要采取措施限制部分产品或整个产品的使用。</w:t>
      </w:r>
    </w:p>
    <w:p>
      <w:pPr>
        <w:pStyle w:val="12"/>
        <w:rPr>
          <w:rFonts w:hint="eastAsia" w:ascii="微软雅黑" w:hAnsi="微软雅黑" w:eastAsia="微软雅黑" w:cs="微软雅黑"/>
          <w:lang w:eastAsia="zh-CN"/>
        </w:rPr>
      </w:pPr>
    </w:p>
    <w:p>
      <w:pPr>
        <w:pStyle w:val="12"/>
        <w:rPr>
          <w:rFonts w:hint="eastAsia" w:ascii="微软雅黑" w:hAnsi="微软雅黑" w:eastAsia="微软雅黑" w:cs="微软雅黑"/>
          <w:b/>
          <w:bCs/>
          <w:lang w:eastAsia="zh-CN"/>
        </w:rPr>
      </w:pPr>
      <w:r>
        <w:rPr>
          <w:rFonts w:hint="eastAsia" w:ascii="微软雅黑" w:hAnsi="微软雅黑" w:eastAsia="微软雅黑" w:cs="微软雅黑"/>
          <w:b/>
          <w:bCs/>
          <w:lang w:eastAsia="zh-CN"/>
        </w:rPr>
        <w:t>处理与回收：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金属零部件可直接回收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塑料零部件有材质标识，可根据标识进行回收</w:t>
      </w:r>
    </w:p>
    <w:p>
      <w:pPr>
        <w:pStyle w:val="14"/>
        <w:rPr>
          <w:rFonts w:hint="eastAsia" w:ascii="微软雅黑" w:hAnsi="微软雅黑" w:eastAsia="微软雅黑" w:cs="微软雅黑"/>
          <w:color w:val="auto"/>
          <w:lang w:eastAsia="zh-CN"/>
        </w:rPr>
      </w:pPr>
      <w:r>
        <w:rPr>
          <w:rFonts w:hint="eastAsia" w:ascii="微软雅黑" w:hAnsi="微软雅黑" w:eastAsia="微软雅黑" w:cs="微软雅黑"/>
          <w:color w:val="auto"/>
          <w:lang w:eastAsia="zh-CN"/>
        </w:rPr>
        <w:t>木材必须根据地方规定处理</w:t>
      </w: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4"/>
        <w:numPr>
          <w:ilvl w:val="0"/>
          <w:numId w:val="0"/>
        </w:numPr>
        <w:ind w:leftChars="0"/>
        <w:rPr>
          <w:rFonts w:hint="eastAsia" w:ascii="微软雅黑" w:hAnsi="微软雅黑" w:eastAsia="微软雅黑" w:cs="微软雅黑"/>
          <w:color w:val="auto"/>
          <w:lang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pPr>
    </w:p>
    <w:p>
      <w:pPr>
        <w:pStyle w:val="12"/>
        <w:numPr>
          <w:ilvl w:val="0"/>
          <w:numId w:val="0"/>
        </w:numPr>
        <w:spacing w:after="0"/>
        <w:ind w:leftChars="0"/>
        <w:rPr>
          <w:rFonts w:hint="default" w:ascii="微软雅黑" w:hAnsi="微软雅黑" w:eastAsia="微软雅黑" w:cs="微软雅黑"/>
          <w:b w:val="0"/>
          <w:bCs w:val="0"/>
          <w:color w:val="3B3838" w:themeColor="background2" w:themeShade="40"/>
          <w:sz w:val="21"/>
          <w:szCs w:val="21"/>
          <w:lang w:val="en-US"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p>
    <w:p>
      <w:pPr>
        <w:pStyle w:val="11"/>
        <w:bidi w:val="0"/>
        <w:rPr>
          <w:rFonts w:hint="eastAsia"/>
          <w:lang w:val="en-US" w:eastAsia="zh-CN"/>
        </w:rPr>
      </w:pPr>
      <w:r>
        <w:rPr>
          <w:rFonts w:hint="eastAsia"/>
          <w:lang w:val="en-US" w:eastAsia="zh-CN"/>
        </w:rPr>
        <w:drawing>
          <wp:inline distT="0" distB="0" distL="114300" distR="114300">
            <wp:extent cx="1621155" cy="447675"/>
            <wp:effectExtent l="0" t="0" r="17145" b="9525"/>
            <wp:docPr id="21" name="图片 21" descr="微信图片_20210426104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descr="微信图片_20210426104041"/>
                    <pic:cNvPicPr>
                      <a:picLocks noChangeAspect="1"/>
                    </pic:cNvPicPr>
                  </pic:nvPicPr>
                  <pic:blipFill>
                    <a:blip r:embed="rId7"/>
                    <a:stretch>
                      <a:fillRect/>
                    </a:stretch>
                  </pic:blipFill>
                  <pic:spPr>
                    <a:xfrm>
                      <a:off x="0" y="0"/>
                      <a:ext cx="1621155" cy="447675"/>
                    </a:xfrm>
                    <a:prstGeom prst="rect">
                      <a:avLst/>
                    </a:prstGeom>
                  </pic:spPr>
                </pic:pic>
              </a:graphicData>
            </a:graphic>
          </wp:inline>
        </w:drawing>
      </w:r>
    </w:p>
    <w:p>
      <w:pPr>
        <w:pStyle w:val="11"/>
        <w:bidi w:val="0"/>
        <w:rPr>
          <w:rFonts w:hint="eastAsia" w:ascii="微软雅黑" w:hAnsi="微软雅黑" w:eastAsia="微软雅黑" w:cs="微软雅黑"/>
          <w:sz w:val="24"/>
          <w:szCs w:val="24"/>
          <w:lang w:val="en-US" w:eastAsia="zh-CN"/>
        </w:rPr>
      </w:pPr>
      <w:r>
        <w:rPr>
          <w:rFonts w:hint="eastAsia" w:ascii="微软雅黑" w:hAnsi="微软雅黑" w:eastAsia="微软雅黑" w:cs="微软雅黑"/>
          <w:sz w:val="24"/>
          <w:szCs w:val="24"/>
          <w:lang w:val="en-US" w:eastAsia="zh-CN"/>
        </w:rPr>
        <w:t>版权归武汉蓝魔方文化发展公司所有</w:t>
      </w:r>
    </w:p>
    <w:p>
      <w:pPr>
        <w:pStyle w:val="11"/>
        <w:bidi w:val="0"/>
        <w:rPr>
          <w:rFonts w:hint="default"/>
          <w:sz w:val="24"/>
          <w:szCs w:val="24"/>
          <w:lang w:val="en-US" w:eastAsia="zh-CN"/>
        </w:rPr>
      </w:pPr>
      <w:r>
        <w:rPr>
          <w:rFonts w:hint="eastAsia" w:ascii="微软雅黑" w:hAnsi="微软雅黑" w:eastAsia="微软雅黑" w:cs="微软雅黑"/>
          <w:sz w:val="24"/>
          <w:szCs w:val="24"/>
          <w:lang w:val="en-US" w:eastAsia="zh-CN"/>
        </w:rPr>
        <w:t>客服中心电话：027-87873488</w:t>
      </w: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1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3z1oQ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989aEMQIAAGMEAAAOAAAAAAAAAAEAIAAAAB8BAABkcnMvZTJvRG9jLnhtbFBLBQYA&#10;AAAABgAGAFkBAADC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C45622"/>
    <w:multiLevelType w:val="singleLevel"/>
    <w:tmpl w:val="9FC45622"/>
    <w:lvl w:ilvl="0" w:tentative="0">
      <w:start w:val="1"/>
      <w:numFmt w:val="decimal"/>
      <w:suff w:val="nothing"/>
      <w:lvlText w:val="%1）"/>
      <w:lvlJc w:val="left"/>
    </w:lvl>
  </w:abstractNum>
  <w:abstractNum w:abstractNumId="1">
    <w:nsid w:val="07DFFABC"/>
    <w:multiLevelType w:val="singleLevel"/>
    <w:tmpl w:val="07DFFABC"/>
    <w:lvl w:ilvl="0" w:tentative="0">
      <w:start w:val="1"/>
      <w:numFmt w:val="decimal"/>
      <w:suff w:val="nothing"/>
      <w:lvlText w:val="%1）"/>
      <w:lvlJc w:val="left"/>
    </w:lvl>
  </w:abstractNum>
  <w:abstractNum w:abstractNumId="2">
    <w:nsid w:val="180527E0"/>
    <w:multiLevelType w:val="multilevel"/>
    <w:tmpl w:val="180527E0"/>
    <w:lvl w:ilvl="0" w:tentative="0">
      <w:start w:val="0"/>
      <w:numFmt w:val="bullet"/>
      <w:lvlText w:val="•"/>
      <w:lvlJc w:val="left"/>
      <w:pPr>
        <w:ind w:left="720" w:hanging="360"/>
      </w:pPr>
      <w:rPr>
        <w:rFonts w:hint="default" w:ascii="Arial" w:hAnsi="Arial"/>
        <w:color w:val="auto"/>
        <w:sz w:val="28"/>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0BE209F"/>
    <w:multiLevelType w:val="multilevel"/>
    <w:tmpl w:val="30BE209F"/>
    <w:lvl w:ilvl="0" w:tentative="0">
      <w:start w:val="1"/>
      <w:numFmt w:val="bullet"/>
      <w:pStyle w:val="14"/>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8F22A2"/>
    <w:rsid w:val="02D1352B"/>
    <w:rsid w:val="08167C00"/>
    <w:rsid w:val="0D2D316D"/>
    <w:rsid w:val="102C7833"/>
    <w:rsid w:val="143940A3"/>
    <w:rsid w:val="18562942"/>
    <w:rsid w:val="1DF53E82"/>
    <w:rsid w:val="204171DE"/>
    <w:rsid w:val="244A646A"/>
    <w:rsid w:val="2B542891"/>
    <w:rsid w:val="2CE2317D"/>
    <w:rsid w:val="2EE5611C"/>
    <w:rsid w:val="3782785E"/>
    <w:rsid w:val="3C8D750E"/>
    <w:rsid w:val="3CA479F0"/>
    <w:rsid w:val="3D9F60E2"/>
    <w:rsid w:val="3F235B9A"/>
    <w:rsid w:val="3F797F39"/>
    <w:rsid w:val="412B5415"/>
    <w:rsid w:val="41E919C1"/>
    <w:rsid w:val="457F351A"/>
    <w:rsid w:val="49271FDC"/>
    <w:rsid w:val="52982F80"/>
    <w:rsid w:val="573B06B8"/>
    <w:rsid w:val="5A1B1196"/>
    <w:rsid w:val="5AF15749"/>
    <w:rsid w:val="5E50470F"/>
    <w:rsid w:val="63A74F70"/>
    <w:rsid w:val="69873B13"/>
    <w:rsid w:val="70F4035C"/>
    <w:rsid w:val="71B400F6"/>
    <w:rsid w:val="722036E4"/>
    <w:rsid w:val="757319DD"/>
    <w:rsid w:val="7F1A5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Text 1 Bold"/>
    <w:qFormat/>
    <w:uiPriority w:val="0"/>
    <w:pPr>
      <w:spacing w:after="160" w:line="259" w:lineRule="auto"/>
    </w:pPr>
    <w:rPr>
      <w:rFonts w:ascii="Arial" w:hAnsi="Arial" w:eastAsiaTheme="minorEastAsia" w:cstheme="minorBidi"/>
      <w:b/>
      <w:color w:val="262626" w:themeColor="text1" w:themeTint="D9"/>
      <w:sz w:val="20"/>
      <w:szCs w:val="20"/>
      <w:lang w:val="en-US" w:eastAsia="en-US" w:bidi="ar-SA"/>
      <w14:textFill>
        <w14:solidFill>
          <w14:schemeClr w14:val="tx1">
            <w14:lumMod w14:val="85000"/>
            <w14:lumOff w14:val="15000"/>
          </w14:schemeClr>
        </w14:solidFill>
      </w14:textFill>
    </w:rPr>
  </w:style>
  <w:style w:type="paragraph" w:styleId="3">
    <w:name w:val="footer"/>
    <w:basedOn w:val="1"/>
    <w:unhideWhenUsed/>
    <w:qFormat/>
    <w:uiPriority w:val="99"/>
    <w:pPr>
      <w:tabs>
        <w:tab w:val="center" w:pos="4819"/>
        <w:tab w:val="right" w:pos="9638"/>
      </w:tabs>
      <w:spacing w:after="0" w:line="240" w:lineRule="auto"/>
    </w:pPr>
  </w:style>
  <w:style w:type="paragraph" w:styleId="4">
    <w:name w:val="header"/>
    <w:basedOn w:val="1"/>
    <w:unhideWhenUsed/>
    <w:qFormat/>
    <w:uiPriority w:val="99"/>
    <w:pPr>
      <w:tabs>
        <w:tab w:val="center" w:pos="4819"/>
        <w:tab w:val="right" w:pos="9638"/>
      </w:tabs>
      <w:spacing w:after="0" w:line="240" w:lineRule="auto"/>
    </w:pPr>
    <w:rPr>
      <w:sz w:val="18"/>
      <w:szCs w:val="18"/>
    </w:rPr>
  </w:style>
  <w:style w:type="table" w:styleId="6">
    <w:name w:val="Table Grid"/>
    <w:basedOn w:val="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nhideWhenUsed/>
    <w:qFormat/>
    <w:uiPriority w:val="99"/>
    <w:rPr>
      <w:color w:val="0563C1" w:themeColor="hyperlink"/>
      <w:u w:val="single"/>
      <w14:textFill>
        <w14:solidFill>
          <w14:schemeClr w14:val="hlink"/>
        </w14:solidFill>
      </w14:textFill>
    </w:rPr>
  </w:style>
  <w:style w:type="paragraph" w:customStyle="1" w:styleId="9">
    <w:name w:val="Title 1"/>
    <w:qFormat/>
    <w:uiPriority w:val="0"/>
    <w:pPr>
      <w:spacing w:after="0" w:line="840" w:lineRule="atLeast"/>
      <w:jc w:val="center"/>
    </w:pPr>
    <w:rPr>
      <w:rFonts w:ascii="Arial" w:hAnsi="Arial" w:eastAsiaTheme="majorEastAsia" w:cstheme="majorBidi"/>
      <w:b/>
      <w:color w:val="262626" w:themeColor="text1" w:themeTint="D9"/>
      <w:sz w:val="80"/>
      <w:szCs w:val="80"/>
      <w:lang w:val="en-US" w:eastAsia="en-US" w:bidi="ar-SA"/>
      <w14:textFill>
        <w14:solidFill>
          <w14:schemeClr w14:val="tx1">
            <w14:lumMod w14:val="85000"/>
            <w14:lumOff w14:val="15000"/>
          </w14:schemeClr>
        </w14:solidFill>
      </w14:textFill>
    </w:rPr>
  </w:style>
  <w:style w:type="paragraph" w:customStyle="1" w:styleId="10">
    <w:name w:val="Subtitle 1"/>
    <w:qFormat/>
    <w:uiPriority w:val="0"/>
    <w:pPr>
      <w:spacing w:before="320" w:after="0" w:line="360" w:lineRule="exact"/>
      <w:jc w:val="center"/>
    </w:pPr>
    <w:rPr>
      <w:rFonts w:ascii="Arial" w:hAnsi="Arial" w:eastAsiaTheme="minorEastAsia" w:cstheme="minorBidi"/>
      <w:color w:val="262626" w:themeColor="text1" w:themeTint="D9"/>
      <w:sz w:val="32"/>
      <w:szCs w:val="32"/>
      <w:lang w:val="en-US" w:eastAsia="en-US" w:bidi="ar-SA"/>
      <w14:textFill>
        <w14:solidFill>
          <w14:schemeClr w14:val="tx1">
            <w14:lumMod w14:val="85000"/>
            <w14:lumOff w14:val="15000"/>
          </w14:schemeClr>
        </w14:solidFill>
      </w14:textFill>
    </w:rPr>
  </w:style>
  <w:style w:type="paragraph" w:customStyle="1" w:styleId="11">
    <w:name w:val="Title 2"/>
    <w:qFormat/>
    <w:uiPriority w:val="0"/>
    <w:pPr>
      <w:spacing w:after="120" w:line="259" w:lineRule="auto"/>
    </w:pPr>
    <w:rPr>
      <w:rFonts w:ascii="Arial" w:hAnsi="Arial" w:eastAsiaTheme="majorEastAsia" w:cstheme="majorBidi"/>
      <w:b/>
      <w:color w:val="595959" w:themeColor="text1" w:themeTint="A6"/>
      <w:sz w:val="48"/>
      <w:szCs w:val="48"/>
      <w:lang w:val="en-US" w:eastAsia="en-US" w:bidi="ar-SA"/>
      <w14:textFill>
        <w14:solidFill>
          <w14:schemeClr w14:val="tx1">
            <w14:lumMod w14:val="65000"/>
            <w14:lumOff w14:val="35000"/>
          </w14:schemeClr>
        </w14:solidFill>
      </w14:textFill>
    </w:rPr>
  </w:style>
  <w:style w:type="paragraph" w:customStyle="1" w:styleId="12">
    <w:name w:val="Text 1"/>
    <w:qFormat/>
    <w:uiPriority w:val="0"/>
    <w:pPr>
      <w:spacing w:after="20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3">
    <w:name w:val="Box Subtitle"/>
    <w:qFormat/>
    <w:uiPriority w:val="0"/>
    <w:pPr>
      <w:spacing w:after="120" w:line="360" w:lineRule="exact"/>
    </w:pPr>
    <w:rPr>
      <w:rFonts w:ascii="Arial" w:hAnsi="Arial" w:eastAsiaTheme="minorEastAsia" w:cstheme="minorBidi"/>
      <w:color w:val="404040" w:themeColor="text1" w:themeTint="BF"/>
      <w:sz w:val="32"/>
      <w:szCs w:val="32"/>
      <w:lang w:val="en-US" w:eastAsia="en-US" w:bidi="ar-SA"/>
      <w14:textFill>
        <w14:solidFill>
          <w14:schemeClr w14:val="tx1">
            <w14:lumMod w14:val="75000"/>
            <w14:lumOff w14:val="25000"/>
          </w14:schemeClr>
        </w14:solidFill>
      </w14:textFill>
    </w:rPr>
  </w:style>
  <w:style w:type="paragraph" w:customStyle="1" w:styleId="14">
    <w:name w:val="Text 1 dots"/>
    <w:qFormat/>
    <w:uiPriority w:val="0"/>
    <w:pPr>
      <w:numPr>
        <w:ilvl w:val="0"/>
        <w:numId w:val="1"/>
      </w:numPr>
      <w:spacing w:after="60" w:line="250" w:lineRule="exact"/>
      <w:ind w:left="357" w:hanging="357"/>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5">
    <w:name w:val="Subtitle 2"/>
    <w:qFormat/>
    <w:uiPriority w:val="0"/>
    <w:pPr>
      <w:spacing w:after="40" w:line="259" w:lineRule="auto"/>
    </w:pPr>
    <w:rPr>
      <w:rFonts w:ascii="Arial" w:hAnsi="Arial" w:eastAsiaTheme="minorEastAsia" w:cstheme="minorBidi"/>
      <w:b/>
      <w:color w:val="727272" w:themeColor="text1" w:themeTint="D9"/>
      <w:sz w:val="24"/>
      <w:szCs w:val="20"/>
      <w:lang w:val="en-US" w:eastAsia="en-US" w:bidi="ar-SA"/>
      <w14:textFill>
        <w14:solidFill>
          <w14:schemeClr w14:val="tx1">
            <w14:lumMod w14:val="65000"/>
            <w14:lumOff w14:val="35000"/>
            <w14:lumMod w14:val="85000"/>
            <w14:lumOff w14:val="15000"/>
          </w14:schemeClr>
        </w14:solidFill>
      </w14:textFill>
    </w:rPr>
  </w:style>
  <w:style w:type="paragraph" w:customStyle="1" w:styleId="16">
    <w:name w:val="Text 1 no spacing"/>
    <w:qFormat/>
    <w:uiPriority w:val="0"/>
    <w:pPr>
      <w:spacing w:after="0" w:line="250" w:lineRule="exact"/>
    </w:pPr>
    <w:rPr>
      <w:rFonts w:ascii="Arial" w:hAnsi="Arial" w:eastAsiaTheme="minorEastAsia" w:cstheme="minorBidi"/>
      <w:color w:val="474747" w:themeColor="text1" w:themeTint="D9"/>
      <w:sz w:val="20"/>
      <w:szCs w:val="20"/>
      <w:lang w:val="en-US" w:eastAsia="en-US" w:bidi="ar-SA"/>
      <w14:textFill>
        <w14:solidFill>
          <w14:schemeClr w14:val="tx1">
            <w14:lumMod w14:val="85000"/>
            <w14:lumOff w14:val="15000"/>
            <w14:lumMod w14:val="85000"/>
            <w14:lumOff w14:val="15000"/>
          </w14:schemeClr>
        </w14:solidFill>
      </w14:textFill>
    </w:rPr>
  </w:style>
  <w:style w:type="paragraph" w:customStyle="1" w:styleId="17">
    <w:name w:val="Italic red"/>
    <w:qFormat/>
    <w:uiPriority w:val="0"/>
    <w:pPr>
      <w:spacing w:before="360" w:after="360" w:line="280" w:lineRule="exact"/>
      <w:ind w:left="680"/>
    </w:pPr>
    <w:rPr>
      <w:rFonts w:ascii="Arial" w:hAnsi="Arial" w:eastAsiaTheme="majorEastAsia" w:cstheme="majorBidi"/>
      <w:i/>
      <w:color w:val="408BCE" w:themeColor="accent1" w:themeTint="D9"/>
      <w:sz w:val="24"/>
      <w:szCs w:val="26"/>
      <w:lang w:val="en-US" w:eastAsia="en-US" w:bidi="ar-SA"/>
      <w14:textFill>
        <w14:solidFill>
          <w14:schemeClr w14:val="accent1">
            <w14:lumMod w14:val="75000"/>
            <w14:lumMod w14:val="85000"/>
            <w14:lumOff w14:val="15000"/>
          </w14:schemeClr>
        </w14:solidFill>
      </w14:textFill>
    </w:rPr>
  </w:style>
  <w:style w:type="paragraph" w:customStyle="1" w:styleId="18">
    <w:name w:val="Table text 1"/>
    <w:basedOn w:val="1"/>
    <w:link w:val="20"/>
    <w:qFormat/>
    <w:uiPriority w:val="0"/>
    <w:pPr>
      <w:spacing w:after="0" w:line="240" w:lineRule="auto"/>
    </w:pPr>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character" w:customStyle="1" w:styleId="19">
    <w:name w:val="Table text 1 bold Char"/>
    <w:basedOn w:val="20"/>
    <w:link w:val="21"/>
    <w:qFormat/>
    <w:uiPriority w:val="0"/>
    <w:rPr>
      <w:b/>
    </w:rPr>
  </w:style>
  <w:style w:type="character" w:customStyle="1" w:styleId="20">
    <w:name w:val="Table text 1 Char"/>
    <w:basedOn w:val="7"/>
    <w:link w:val="18"/>
    <w:qFormat/>
    <w:uiPriority w:val="0"/>
    <w:rPr>
      <w:color w:val="3C3C3C" w:themeColor="text1" w:themeTint="D9"/>
      <w:sz w:val="18"/>
      <w:szCs w:val="18"/>
      <w14:textFill>
        <w14:solidFill>
          <w14:schemeClr w14:val="tx1">
            <w14:lumMod w14:val="85000"/>
            <w14:lumOff w14:val="15000"/>
            <w14:lumMod w14:val="85000"/>
            <w14:lumOff w14:val="15000"/>
            <w14:lumMod w14:val="85000"/>
          </w14:schemeClr>
        </w14:solidFill>
      </w14:textFill>
    </w:rPr>
  </w:style>
  <w:style w:type="paragraph" w:customStyle="1" w:styleId="21">
    <w:name w:val="Table text 1 bold"/>
    <w:basedOn w:val="18"/>
    <w:link w:val="19"/>
    <w:qFormat/>
    <w:uiPriority w:val="0"/>
    <w:pPr>
      <w:spacing w:line="230" w:lineRule="exact"/>
    </w:pPr>
    <w:rPr>
      <w:b/>
    </w:rPr>
  </w:style>
  <w:style w:type="paragraph" w:customStyle="1" w:styleId="22">
    <w:name w:val="Table text 1 bold white"/>
    <w:basedOn w:val="21"/>
    <w:qFormat/>
    <w:uiPriority w:val="0"/>
    <w:rPr>
      <w:color w:val="D9D9D9" w:themeColor="background1" w:themeTint="D9"/>
      <w14:textFill>
        <w14:solidFill>
          <w14:schemeClr w14:val="bg1">
            <w14:lumMod w14:val="85000"/>
            <w14:lumOff w14:val="15000"/>
            <w14:lumMod w14:val="85000"/>
            <w14:lumOff w14:val="15000"/>
            <w14:lumMod w14:val="85000"/>
          </w14:schemeClr>
        </w14:solidFill>
      </w14:textFill>
    </w:rPr>
  </w:style>
  <w:style w:type="paragraph" w:customStyle="1" w:styleId="23">
    <w:name w:val="Table text 3 bold"/>
    <w:qFormat/>
    <w:uiPriority w:val="0"/>
    <w:pPr>
      <w:spacing w:after="0" w:line="20" w:lineRule="atLeast"/>
    </w:pPr>
    <w:rPr>
      <w:rFonts w:ascii="Arial" w:hAnsi="Arial" w:eastAsiaTheme="minorEastAsia" w:cstheme="minorBidi"/>
      <w:b/>
      <w:color w:val="FFFFFF" w:themeColor="background1"/>
      <w:sz w:val="22"/>
      <w:szCs w:val="22"/>
      <w:lang w:val="en-US" w:eastAsia="en-US" w:bidi="ar-SA"/>
      <w14:textFill>
        <w14:solidFill>
          <w14:schemeClr w14:val="bg1"/>
        </w14:solidFill>
      </w14:textFill>
    </w:rPr>
  </w:style>
  <w:style w:type="paragraph" w:customStyle="1" w:styleId="24">
    <w:name w:val="Table text 2"/>
    <w:qFormat/>
    <w:uiPriority w:val="0"/>
    <w:pPr>
      <w:spacing w:after="0" w:line="160" w:lineRule="exact"/>
    </w:pPr>
    <w:rPr>
      <w:rFonts w:ascii="Arial" w:hAnsi="Arial" w:eastAsiaTheme="minorEastAsia" w:cstheme="minorBidi"/>
      <w:color w:val="262626" w:themeColor="text1" w:themeTint="D9"/>
      <w:sz w:val="12"/>
      <w:szCs w:val="12"/>
      <w:lang w:val="en-US" w:eastAsia="en-US" w:bidi="ar-SA"/>
      <w14:textFill>
        <w14:solidFill>
          <w14:schemeClr w14:val="tx1">
            <w14:lumMod w14:val="85000"/>
            <w14:lumOff w14:val="15000"/>
          </w14:schemeClr>
        </w14:solidFill>
      </w14:textFill>
    </w:rPr>
  </w:style>
  <w:style w:type="character" w:styleId="25">
    <w:name w:val="Placeholder Text"/>
    <w:basedOn w:val="7"/>
    <w:semiHidden/>
    <w:qFormat/>
    <w:uiPriority w:val="99"/>
    <w:rPr>
      <w:color w:val="808080"/>
    </w:rPr>
  </w:style>
  <w:style w:type="paragraph" w:styleId="2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懂，让彼此更近</cp:lastModifiedBy>
  <cp:lastPrinted>2021-04-28T07:28:00Z</cp:lastPrinted>
  <dcterms:modified xsi:type="dcterms:W3CDTF">2021-05-12T02:35:31Z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B588C4F121244E4A87076F4D708E0C2A</vt:lpwstr>
  </property>
</Properties>
</file>